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DBF" w:rsidRDefault="00513EFB" w14:paraId="101592D7" w14:textId="1742E4C3">
      <w:pPr>
        <w:suppressAutoHyphens/>
        <w:spacing w:after="240"/>
        <w:ind w:left="4320" w:firstLine="720"/>
        <w:jc w:val="right"/>
      </w:pPr>
      <w:r>
        <w:t xml:space="preserve">Date: </w:t>
      </w:r>
      <w:r w:rsidR="00676759">
        <w:t>March 24</w:t>
      </w:r>
      <w:r w:rsidR="00FF4025">
        <w:t>, 2026</w:t>
      </w:r>
    </w:p>
    <w:p w:rsidR="00FA4DBF" w:rsidRDefault="00513EFB" w14:paraId="26AF0E76" w14:textId="14917870">
      <w:pPr>
        <w:pStyle w:val="BodyText"/>
      </w:pPr>
      <w:r>
        <w:t xml:space="preserve">At a meeting of the </w:t>
      </w:r>
      <w:r>
        <w:rPr>
          <w:color w:val="000000"/>
        </w:rPr>
        <w:t>Town of Hempstead Industrial Development Agency</w:t>
      </w:r>
      <w:r>
        <w:t xml:space="preserve"> (the “</w:t>
      </w:r>
      <w:r>
        <w:rPr>
          <w:b/>
        </w:rPr>
        <w:t>Agency</w:t>
      </w:r>
      <w:r>
        <w:t xml:space="preserve">”), held at </w:t>
      </w:r>
      <w:r>
        <w:rPr>
          <w:color w:val="000000"/>
        </w:rPr>
        <w:t>Town Hall Old Courtroom, 350 Front Street, Hempstead, New York</w:t>
      </w:r>
      <w:r>
        <w:t xml:space="preserve"> 11550, on the </w:t>
      </w:r>
      <w:r w:rsidR="00676759">
        <w:t>24th</w:t>
      </w:r>
      <w:r>
        <w:t xml:space="preserve"> day of </w:t>
      </w:r>
      <w:r w:rsidR="00676759">
        <w:t>March</w:t>
      </w:r>
      <w:r w:rsidR="00FF4025">
        <w:t>, 2026</w:t>
      </w:r>
      <w:r>
        <w:t>, at 9:00 a.m., the following members of the Agency were present:</w:t>
      </w:r>
    </w:p>
    <w:p w:rsidR="00FA4DBF" w:rsidRDefault="00513EFB" w14:paraId="24CA7BDE" w14:textId="77777777">
      <w:pPr>
        <w:suppressAutoHyphens/>
        <w:jc w:val="both"/>
      </w:pPr>
      <w:r>
        <w:rPr>
          <w:szCs w:val="24"/>
        </w:rPr>
        <w:t>Present:</w:t>
      </w:r>
      <w:r>
        <w:rPr>
          <w:szCs w:val="24"/>
        </w:rPr>
        <w:tab/>
      </w:r>
      <w:r>
        <w:rPr>
          <w:szCs w:val="24"/>
        </w:rPr>
        <w:tab/>
      </w:r>
      <w:r>
        <w:t>Thomas J. Grech, Vice Chairman</w:t>
      </w:r>
    </w:p>
    <w:p w:rsidR="00FA4DBF" w:rsidRDefault="00513EFB" w14:paraId="06FEB391" w14:textId="77777777">
      <w:pPr>
        <w:suppressAutoHyphens/>
        <w:ind w:left="1440" w:firstLine="720"/>
        <w:jc w:val="both"/>
        <w:rPr>
          <w:color w:val="000000"/>
          <w:szCs w:val="24"/>
        </w:rPr>
      </w:pPr>
      <w:r>
        <w:rPr>
          <w:color w:val="000000"/>
          <w:szCs w:val="24"/>
        </w:rPr>
        <w:t>Rev. Dr. Eric C. Mallette, Treasurer</w:t>
      </w:r>
    </w:p>
    <w:p w:rsidR="00FF4025" w:rsidP="00FF4025" w:rsidRDefault="00513EFB" w14:paraId="4AA898B7" w14:textId="77777777">
      <w:pPr>
        <w:suppressAutoHyphens/>
        <w:ind w:left="2160"/>
        <w:rPr>
          <w:color w:val="000000"/>
          <w:szCs w:val="24"/>
        </w:rPr>
      </w:pPr>
      <w:r>
        <w:rPr>
          <w:szCs w:val="24"/>
        </w:rPr>
        <w:t>Jack Majkut, Secretary</w:t>
      </w:r>
      <w:r w:rsidR="00FF4025">
        <w:rPr>
          <w:szCs w:val="24"/>
        </w:rPr>
        <w:br/>
        <w:t>Robert Bedford, Member</w:t>
      </w:r>
    </w:p>
    <w:p w:rsidR="00FA4DBF" w:rsidRDefault="00513EFB" w14:paraId="27B10EDA" w14:textId="77777777">
      <w:pPr>
        <w:suppressAutoHyphens/>
        <w:ind w:left="1440" w:firstLine="720"/>
        <w:jc w:val="both"/>
        <w:rPr>
          <w:szCs w:val="24"/>
        </w:rPr>
      </w:pPr>
      <w:r>
        <w:rPr>
          <w:szCs w:val="24"/>
        </w:rPr>
        <w:t>Jerry Kornbluth, Member</w:t>
      </w:r>
    </w:p>
    <w:p w:rsidR="00FA4DBF" w:rsidRDefault="00513EFB" w14:paraId="4E9380F5" w14:textId="77777777">
      <w:pPr>
        <w:suppressAutoHyphens/>
        <w:ind w:left="1440" w:firstLine="720"/>
        <w:jc w:val="both"/>
        <w:rPr>
          <w:szCs w:val="24"/>
        </w:rPr>
      </w:pPr>
      <w:r>
        <w:rPr>
          <w:szCs w:val="24"/>
        </w:rPr>
        <w:t>Jill Ann Mollitor, Member</w:t>
      </w:r>
    </w:p>
    <w:p w:rsidR="00FA4DBF" w:rsidRDefault="00513EFB" w14:paraId="0BC726F3" w14:textId="77777777">
      <w:pPr>
        <w:suppressAutoHyphens/>
        <w:ind w:left="1440" w:firstLine="720"/>
        <w:jc w:val="both"/>
      </w:pPr>
      <w:r>
        <w:rPr>
          <w:szCs w:val="24"/>
        </w:rPr>
        <w:t>Guy Savia, Member</w:t>
      </w:r>
    </w:p>
    <w:p w:rsidR="00FA4DBF" w:rsidRDefault="00FA4DBF" w14:paraId="722DF9FD" w14:textId="77777777">
      <w:pPr>
        <w:ind w:firstLine="360"/>
        <w:jc w:val="both"/>
      </w:pPr>
    </w:p>
    <w:p w:rsidR="00FA4DBF" w:rsidRDefault="00513EFB" w14:paraId="68DC4436" w14:textId="77777777">
      <w:pPr>
        <w:suppressAutoHyphens/>
        <w:ind w:left="720" w:hanging="360"/>
        <w:jc w:val="both"/>
      </w:pPr>
      <w:r>
        <w:rPr>
          <w:szCs w:val="24"/>
        </w:rPr>
        <w:t>Excused:</w:t>
      </w:r>
      <w:r>
        <w:rPr>
          <w:szCs w:val="24"/>
        </w:rPr>
        <w:tab/>
      </w:r>
      <w:r>
        <w:rPr>
          <w:szCs w:val="24"/>
        </w:rPr>
        <w:tab/>
      </w:r>
      <w:r>
        <w:t xml:space="preserve"> </w:t>
      </w:r>
    </w:p>
    <w:p w:rsidR="00FA4DBF" w:rsidRDefault="00FA4DBF" w14:paraId="3FF824E5" w14:textId="77777777">
      <w:pPr>
        <w:jc w:val="both"/>
        <w:rPr>
          <w:color w:val="000000"/>
          <w:szCs w:val="24"/>
        </w:rPr>
      </w:pPr>
    </w:p>
    <w:p w:rsidR="00FA4DBF" w:rsidRDefault="00FA4DBF" w14:paraId="2DAC4660" w14:textId="77777777">
      <w:pPr>
        <w:jc w:val="both"/>
        <w:rPr>
          <w:color w:val="000000"/>
          <w:szCs w:val="24"/>
        </w:rPr>
      </w:pPr>
    </w:p>
    <w:p w:rsidR="00FA4DBF" w:rsidRDefault="00513EFB" w14:paraId="45149AE7" w14:textId="77777777">
      <w:pPr>
        <w:autoSpaceDE w:val="0"/>
        <w:autoSpaceDN w:val="0"/>
        <w:adjustRightInd w:val="0"/>
        <w:ind w:left="360"/>
        <w:jc w:val="both"/>
        <w:rPr>
          <w:szCs w:val="24"/>
        </w:rPr>
      </w:pPr>
      <w:r>
        <w:rPr>
          <w:szCs w:val="24"/>
        </w:rPr>
        <w:t>Also Present:</w:t>
      </w:r>
      <w:r>
        <w:rPr>
          <w:szCs w:val="24"/>
        </w:rPr>
        <w:tab/>
        <w:t>Frederick E. Parola, Chief Executive Officer</w:t>
      </w:r>
    </w:p>
    <w:p w:rsidR="00FF4025" w:rsidRDefault="00FF4025" w14:paraId="4BF7E256" w14:textId="305263D4">
      <w:pPr>
        <w:autoSpaceDE w:val="0"/>
        <w:autoSpaceDN w:val="0"/>
        <w:adjustRightInd w:val="0"/>
        <w:ind w:left="360"/>
        <w:jc w:val="both"/>
        <w:rPr>
          <w:color w:val="000000"/>
          <w:szCs w:val="24"/>
        </w:rPr>
      </w:pPr>
      <w:r>
        <w:rPr>
          <w:szCs w:val="24"/>
        </w:rPr>
        <w:tab/>
      </w:r>
      <w:r>
        <w:rPr>
          <w:szCs w:val="24"/>
        </w:rPr>
        <w:tab/>
      </w:r>
      <w:r>
        <w:rPr>
          <w:szCs w:val="24"/>
        </w:rPr>
        <w:tab/>
        <w:t>Edith M. Longo, Chief Financial Officer</w:t>
      </w:r>
    </w:p>
    <w:p w:rsidR="00FA4DBF" w:rsidRDefault="00513EFB" w14:paraId="42877B71" w14:textId="77777777">
      <w:pPr>
        <w:autoSpaceDE w:val="0"/>
        <w:autoSpaceDN w:val="0"/>
        <w:adjustRightInd w:val="0"/>
        <w:ind w:firstLine="720"/>
        <w:jc w:val="both"/>
        <w:rPr>
          <w:szCs w:val="24"/>
        </w:rPr>
      </w:pPr>
      <w:r>
        <w:rPr>
          <w:szCs w:val="24"/>
        </w:rPr>
        <w:tab/>
      </w:r>
      <w:r>
        <w:rPr>
          <w:szCs w:val="24"/>
        </w:rPr>
        <w:tab/>
        <w:t>Michael Lodato, Deputy Executive Director</w:t>
      </w:r>
    </w:p>
    <w:p w:rsidR="00FA4DBF" w:rsidRDefault="00513EFB" w14:paraId="62976AA0" w14:textId="77777777">
      <w:pPr>
        <w:autoSpaceDE w:val="0"/>
        <w:autoSpaceDN w:val="0"/>
        <w:adjustRightInd w:val="0"/>
        <w:ind w:left="1440" w:firstLine="720"/>
        <w:jc w:val="both"/>
        <w:rPr>
          <w:szCs w:val="24"/>
        </w:rPr>
      </w:pPr>
      <w:r>
        <w:rPr>
          <w:szCs w:val="24"/>
        </w:rPr>
        <w:t>Lorraine Rhoads, Agency Administrator</w:t>
      </w:r>
    </w:p>
    <w:p w:rsidR="00FA4DBF" w:rsidRDefault="00513EFB" w14:paraId="65E26E63" w14:textId="77777777">
      <w:pPr>
        <w:autoSpaceDE w:val="0"/>
        <w:autoSpaceDN w:val="0"/>
        <w:adjustRightInd w:val="0"/>
        <w:ind w:left="1440" w:firstLine="720"/>
        <w:jc w:val="both"/>
        <w:rPr>
          <w:szCs w:val="24"/>
        </w:rPr>
      </w:pPr>
      <w:r>
        <w:rPr>
          <w:szCs w:val="24"/>
        </w:rPr>
        <w:t>Laura Tomeo, Deputy Agency Administrator</w:t>
      </w:r>
    </w:p>
    <w:p w:rsidR="00FA4DBF" w:rsidRDefault="00513EFB" w14:paraId="3AB1CC3E" w14:textId="77777777">
      <w:pPr>
        <w:autoSpaceDE w:val="0"/>
        <w:autoSpaceDN w:val="0"/>
        <w:adjustRightInd w:val="0"/>
        <w:ind w:left="1440" w:firstLine="720"/>
        <w:jc w:val="both"/>
        <w:rPr>
          <w:szCs w:val="24"/>
        </w:rPr>
      </w:pPr>
      <w:r>
        <w:rPr>
          <w:szCs w:val="24"/>
        </w:rPr>
        <w:t>Arlyn Eames, Deputy Financial Officer</w:t>
      </w:r>
    </w:p>
    <w:p w:rsidR="00FA4DBF" w:rsidRDefault="00513EFB" w14:paraId="51F53F2A" w14:textId="77777777">
      <w:pPr>
        <w:autoSpaceDE w:val="0"/>
        <w:autoSpaceDN w:val="0"/>
        <w:adjustRightInd w:val="0"/>
        <w:ind w:left="1440" w:firstLine="720"/>
        <w:jc w:val="both"/>
      </w:pPr>
      <w:r>
        <w:rPr>
          <w:szCs w:val="24"/>
        </w:rPr>
        <w:t>John Ryan, Esq., Agency Counsel</w:t>
      </w:r>
      <w:r>
        <w:tab/>
      </w:r>
      <w:r>
        <w:tab/>
      </w:r>
      <w:r>
        <w:tab/>
      </w:r>
    </w:p>
    <w:p w:rsidR="00FA4DBF" w:rsidRDefault="00513EFB" w14:paraId="48850387" w14:textId="77777777">
      <w:pPr>
        <w:pStyle w:val="BodyText"/>
        <w:ind w:left="1440"/>
      </w:pPr>
      <w:r>
        <w:t>Paul V. O’Brien, Esq., Transaction Counsel</w:t>
      </w:r>
    </w:p>
    <w:p w:rsidR="00FA4DBF" w:rsidRDefault="00513EFB" w14:paraId="31E520A5" w14:textId="72331342">
      <w:pPr>
        <w:pStyle w:val="BodyText"/>
      </w:pPr>
      <w:r>
        <w:rPr>
          <w:szCs w:val="24"/>
        </w:rPr>
        <w:t xml:space="preserve"> After the meeting had been duly called to order, the Vice </w:t>
      </w:r>
      <w:r w:rsidR="00FF4025">
        <w:rPr>
          <w:szCs w:val="24"/>
        </w:rPr>
        <w:t xml:space="preserve">Chairman </w:t>
      </w:r>
      <w:r>
        <w:rPr>
          <w:szCs w:val="24"/>
        </w:rPr>
        <w:t xml:space="preserve">announced that among the purposes of the meeting was to consider and take action on certain matters pertaining to the </w:t>
      </w:r>
      <w:r>
        <w:t>acquisition of a leasehold interest in or title to a certain industrial development facility more particularly described herein (</w:t>
      </w:r>
      <w:r w:rsidR="008B40C2">
        <w:t xml:space="preserve">2150 Grand LLC 2026 </w:t>
      </w:r>
      <w:r>
        <w:rPr>
          <w:color w:val="000000"/>
          <w:szCs w:val="24"/>
        </w:rPr>
        <w:t>Facility</w:t>
      </w:r>
      <w:r>
        <w:t xml:space="preserve">), and the leasing of the Facility to </w:t>
      </w:r>
      <w:r w:rsidR="008B40C2">
        <w:t>2150 Grand</w:t>
      </w:r>
      <w:r>
        <w:t xml:space="preserve"> LLC.</w:t>
      </w:r>
    </w:p>
    <w:p w:rsidR="00FA4DBF" w:rsidRDefault="00513EFB" w14:paraId="3E22222C" w14:textId="77777777">
      <w:pPr>
        <w:pStyle w:val="BodyText"/>
      </w:pPr>
      <w:r>
        <w:t xml:space="preserve">The following resolution was duly </w:t>
      </w:r>
      <w:proofErr w:type="gramStart"/>
      <w:r>
        <w:t>moved</w:t>
      </w:r>
      <w:proofErr w:type="gramEnd"/>
      <w:r>
        <w:t>, seconded, discussed and adopted with the following members voting:</w:t>
      </w:r>
    </w:p>
    <w:p w:rsidR="00FA4DBF" w:rsidRDefault="00513EFB" w14:paraId="3E85CFB8" w14:textId="77777777">
      <w:pPr>
        <w:tabs>
          <w:tab w:val="left" w:pos="4320"/>
          <w:tab w:val="left" w:pos="5040"/>
          <w:tab w:val="left" w:pos="6480"/>
        </w:tabs>
        <w:suppressAutoHyphens/>
        <w:spacing w:line="360" w:lineRule="auto"/>
        <w:ind w:left="1440"/>
        <w:jc w:val="both"/>
        <w:rPr>
          <w:u w:val="single"/>
        </w:rPr>
      </w:pPr>
      <w:r>
        <w:rPr>
          <w:u w:val="single"/>
        </w:rPr>
        <w:t>Voting Aye</w:t>
      </w:r>
      <w:r>
        <w:tab/>
      </w:r>
      <w:r>
        <w:rPr>
          <w:u w:val="single"/>
        </w:rPr>
        <w:t>Voting Nay</w:t>
      </w:r>
      <w:r>
        <w:tab/>
      </w:r>
      <w:r>
        <w:tab/>
      </w:r>
      <w:r>
        <w:rPr>
          <w:u w:val="single"/>
        </w:rPr>
        <w:t>Abstaining</w:t>
      </w:r>
    </w:p>
    <w:p w:rsidR="00FA4DBF" w:rsidRDefault="00FA4DBF" w14:paraId="055567E3" w14:textId="2C76C2DD">
      <w:pPr>
        <w:tabs>
          <w:tab w:val="left" w:pos="4320"/>
          <w:tab w:val="left" w:pos="5040"/>
          <w:tab w:val="left" w:pos="6480"/>
        </w:tabs>
        <w:suppressAutoHyphens/>
        <w:spacing w:line="360" w:lineRule="auto"/>
        <w:ind w:left="1440"/>
        <w:jc w:val="both"/>
      </w:pPr>
    </w:p>
    <w:p w:rsidR="00FA4DBF" w:rsidRDefault="00FA4DBF" w14:paraId="387F22B7" w14:textId="77777777">
      <w:pPr>
        <w:tabs>
          <w:tab w:val="left" w:pos="4320"/>
          <w:tab w:val="left" w:pos="5040"/>
          <w:tab w:val="left" w:pos="6480"/>
        </w:tabs>
        <w:suppressAutoHyphens/>
        <w:spacing w:line="360" w:lineRule="auto"/>
        <w:ind w:left="1440"/>
        <w:jc w:val="both"/>
        <w:sectPr w:rsidR="00FA4DBF">
          <w:footerReference w:type="default" r:id="rId8"/>
          <w:footerReference w:type="first" r:id="rId9"/>
          <w:pgSz w:w="12240" w:h="15840" w:code="1"/>
          <w:pgMar w:top="1440" w:right="1440" w:bottom="1440" w:left="1728" w:header="720" w:footer="720" w:gutter="0"/>
          <w:pgNumType w:start="1"/>
          <w:cols w:space="720"/>
          <w:noEndnote/>
          <w:titlePg/>
          <w:docGrid w:linePitch="326"/>
        </w:sectPr>
      </w:pPr>
    </w:p>
    <w:p w:rsidR="00FA4DBF" w:rsidRDefault="00513EFB" w14:paraId="0063A99D" w14:textId="7BFBAB37">
      <w:pPr>
        <w:pStyle w:val="BlockText"/>
        <w:rPr>
          <w:szCs w:val="24"/>
        </w:rPr>
      </w:pPr>
      <w:r>
        <w:rPr>
          <w:szCs w:val="24"/>
        </w:rPr>
        <w:lastRenderedPageBreak/>
        <w:t xml:space="preserve">RESOLUTION OF THE </w:t>
      </w:r>
      <w:r>
        <w:rPr>
          <w:color w:val="000000"/>
          <w:szCs w:val="24"/>
        </w:rPr>
        <w:t>TOWN OF HEMPSTEAD INDUSTRIAL DEVELOPMENT AGENCY</w:t>
      </w:r>
      <w:r>
        <w:rPr>
          <w:szCs w:val="24"/>
        </w:rPr>
        <w:t xml:space="preserve"> TAKING OFFICIAL ACTION TOWARD APPOINTING </w:t>
      </w:r>
      <w:r w:rsidR="00DD2C49">
        <w:rPr>
          <w:szCs w:val="24"/>
        </w:rPr>
        <w:t xml:space="preserve">2150 GRAND </w:t>
      </w:r>
      <w:r>
        <w:rPr>
          <w:szCs w:val="24"/>
        </w:rPr>
        <w:t>LLC</w:t>
      </w:r>
      <w:r>
        <w:rPr>
          <w:caps/>
        </w:rPr>
        <w:t xml:space="preserve">, A NEW YORK limited liability company, ON BEHALF OF ITSELF AND/OR THE PRINCIPALS OF </w:t>
      </w:r>
      <w:r w:rsidR="005E0D8A">
        <w:rPr>
          <w:caps/>
        </w:rPr>
        <w:t xml:space="preserve">2150 grand </w:t>
      </w:r>
      <w:r>
        <w:rPr>
          <w:caps/>
        </w:rPr>
        <w:t xml:space="preserve">LLC AND/OR AN ENTITY FORMED OR TO BE FORMED ON BEHALF OF ANY OF THE FOREGOING AS AGENT OF THE AGENCY FOR THE PURPOSE OF </w:t>
      </w:r>
      <w:r>
        <w:rPr>
          <w:caps/>
          <w:color w:val="000000"/>
          <w:szCs w:val="24"/>
        </w:rPr>
        <w:t>ACQUIRING, constructING, INSTALLING AND EQUIPPING</w:t>
      </w:r>
      <w:r>
        <w:rPr>
          <w:caps/>
        </w:rPr>
        <w:t xml:space="preserve"> AN INDUSTRIAL DEVELOPMENT FACILITY</w:t>
      </w:r>
      <w:r>
        <w:rPr>
          <w:szCs w:val="24"/>
        </w:rPr>
        <w:t xml:space="preserve"> AND ISSUING A FINDINGS STATEMENT AND DETERMINATION OF SIGNIFICANCE PURSUANT TO SEQRA WITH RESPECT TO THE FACILITY</w:t>
      </w:r>
    </w:p>
    <w:p w:rsidR="00FA4DBF" w:rsidRDefault="00513EFB" w14:paraId="0A6EAB6E" w14:textId="01E840C4">
      <w:pPr>
        <w:pStyle w:val="BodyText"/>
        <w:rPr>
          <w:szCs w:val="24"/>
        </w:rPr>
      </w:pPr>
      <w:r>
        <w:rPr>
          <w:szCs w:val="24"/>
        </w:rPr>
        <w:t xml:space="preserve">WHEREAS, </w:t>
      </w:r>
      <w:r w:rsidR="005E0D8A">
        <w:rPr>
          <w:szCs w:val="24"/>
        </w:rPr>
        <w:t>2150 GRAND</w:t>
      </w:r>
      <w:r>
        <w:rPr>
          <w:szCs w:val="24"/>
        </w:rPr>
        <w:t xml:space="preserve"> LLC</w:t>
      </w:r>
      <w:r>
        <w:t xml:space="preserve">, a limited liability company organized and existing under the laws of the State of New York, on behalf of itself and/or the principals of </w:t>
      </w:r>
      <w:r w:rsidR="005E0D8A">
        <w:t>2150 Grand</w:t>
      </w:r>
      <w:r>
        <w:t xml:space="preserve"> LLC and/or an entity formed or to be formed on behalf of any of the foregoing (collectively, the “</w:t>
      </w:r>
      <w:r>
        <w:rPr>
          <w:b/>
          <w:bCs/>
        </w:rPr>
        <w:t>Company</w:t>
      </w:r>
      <w:r>
        <w:t>”), submitted its application for financial assistance (the “</w:t>
      </w:r>
      <w:r>
        <w:rPr>
          <w:b/>
          <w:bCs/>
        </w:rPr>
        <w:t>Application</w:t>
      </w:r>
      <w:r>
        <w:t>”) to the Town of Hempstead Industrial Development Agency (the “</w:t>
      </w:r>
      <w:r>
        <w:rPr>
          <w:b/>
          <w:bCs/>
        </w:rPr>
        <w:t>Agency</w:t>
      </w:r>
      <w:r>
        <w:t xml:space="preserve">”) to enter into a transaction in which the Agency will assist in the acquisition of an interest in an approximately </w:t>
      </w:r>
      <w:r w:rsidR="005E0D8A">
        <w:t>0.73</w:t>
      </w:r>
      <w:r>
        <w:t xml:space="preserve"> acre parcel of land located at </w:t>
      </w:r>
      <w:r w:rsidR="005E0D8A">
        <w:t>2150-2162 Gra</w:t>
      </w:r>
      <w:r>
        <w:t>nd Avenue, Baldwin, Town of Hempstead, Nassau County, New York (the “</w:t>
      </w:r>
      <w:r>
        <w:rPr>
          <w:b/>
          <w:bCs/>
        </w:rPr>
        <w:t>Land</w:t>
      </w:r>
      <w:r>
        <w:t xml:space="preserve">”), the demolition of the existing approximately </w:t>
      </w:r>
      <w:r w:rsidR="005E0D8A">
        <w:t>10,995</w:t>
      </w:r>
      <w:r>
        <w:t xml:space="preserve"> square foot building on the Land, the construction of a </w:t>
      </w:r>
      <w:r w:rsidR="005E0D8A">
        <w:t>five</w:t>
      </w:r>
      <w:r>
        <w:t xml:space="preserve">-story approximately </w:t>
      </w:r>
      <w:r w:rsidR="005E0D8A">
        <w:t>57,000</w:t>
      </w:r>
      <w:r>
        <w:t xml:space="preserve"> square foot mixed-use facility consisting of approximately </w:t>
      </w:r>
      <w:r w:rsidR="005E0D8A">
        <w:t>58</w:t>
      </w:r>
      <w:r>
        <w:t xml:space="preserve"> market-rate residential rental units (consisting of approximately </w:t>
      </w:r>
      <w:r w:rsidR="005E0D8A">
        <w:t>49</w:t>
      </w:r>
      <w:r>
        <w:t xml:space="preserve"> one-bedroom apartments and </w:t>
      </w:r>
      <w:r w:rsidR="005E0D8A">
        <w:t>9</w:t>
      </w:r>
      <w:r>
        <w:t xml:space="preserve"> two-bedroom apartments), approximately </w:t>
      </w:r>
      <w:r w:rsidR="005E0D8A">
        <w:t xml:space="preserve">609 </w:t>
      </w:r>
      <w:r>
        <w:t xml:space="preserve">rentable square feet of ground floor commercial </w:t>
      </w:r>
      <w:r w:rsidR="005E0D8A">
        <w:t>retail</w:t>
      </w:r>
      <w:r>
        <w:t xml:space="preserve"> space, </w:t>
      </w:r>
      <w:r w:rsidR="005E0D8A">
        <w:t>on-site parking</w:t>
      </w:r>
      <w:r>
        <w:t xml:space="preserve"> on the Land and associated site improvements (collectively, the “</w:t>
      </w:r>
      <w:r>
        <w:rPr>
          <w:b/>
          <w:bCs/>
        </w:rPr>
        <w:t>Improvements</w:t>
      </w:r>
      <w:r>
        <w:t>”), and the acquisition of certain furniture, fixtures, equipment and personal property necessary for the completion thereof (the “</w:t>
      </w:r>
      <w:r>
        <w:rPr>
          <w:b/>
          <w:bCs/>
        </w:rPr>
        <w:t>Equipment</w:t>
      </w:r>
      <w:r>
        <w:t>”; and together with the Land and the Improvements, the “</w:t>
      </w:r>
      <w:r>
        <w:rPr>
          <w:b/>
        </w:rPr>
        <w:t>Facility</w:t>
      </w:r>
      <w:r>
        <w:t xml:space="preserve">”), which Facility would be subleased by the Agency to the Company and further sub-subleased by the Company to future tenants for use as a mixed-use multifamily housing and commercial </w:t>
      </w:r>
      <w:r w:rsidR="005E0D8A">
        <w:t xml:space="preserve">retail </w:t>
      </w:r>
      <w:r>
        <w:t>facility</w:t>
      </w:r>
      <w:r>
        <w:rPr>
          <w:szCs w:val="24"/>
        </w:rPr>
        <w:t xml:space="preserve"> (the “</w:t>
      </w:r>
      <w:r>
        <w:rPr>
          <w:b/>
          <w:szCs w:val="24"/>
        </w:rPr>
        <w:t>Project</w:t>
      </w:r>
      <w:r>
        <w:rPr>
          <w:szCs w:val="24"/>
        </w:rPr>
        <w:t>”); and</w:t>
      </w:r>
    </w:p>
    <w:p w:rsidR="00FA4DBF" w:rsidRDefault="00513EFB" w14:paraId="52B341B3" w14:textId="77777777">
      <w:pPr>
        <w:pStyle w:val="BodyText"/>
        <w:rPr>
          <w:szCs w:val="24"/>
        </w:rPr>
      </w:pPr>
      <w:r>
        <w:rPr>
          <w:szCs w:val="24"/>
        </w:rPr>
        <w:t xml:space="preserve">WHEREAS, the Agency will acquire a leasehold interest in the Land and the Improvements and title to the Equipment and will sublease the Land and the Improvements </w:t>
      </w:r>
      <w:r>
        <w:rPr>
          <w:color w:val="000000"/>
          <w:szCs w:val="24"/>
        </w:rPr>
        <w:t xml:space="preserve">and lease the Equipment to the Company </w:t>
      </w:r>
      <w:r>
        <w:rPr>
          <w:szCs w:val="24"/>
        </w:rPr>
        <w:t>all pursuant to Title 1 of Article 18-A of the General Municipal Law of the State of New York, as amended, and Chapter </w:t>
      </w:r>
      <w:r>
        <w:rPr>
          <w:color w:val="000000"/>
          <w:szCs w:val="24"/>
        </w:rPr>
        <w:t>529</w:t>
      </w:r>
      <w:r>
        <w:rPr>
          <w:szCs w:val="24"/>
        </w:rPr>
        <w:t xml:space="preserve"> of the Laws of </w:t>
      </w:r>
      <w:r>
        <w:rPr>
          <w:color w:val="000000"/>
          <w:szCs w:val="24"/>
        </w:rPr>
        <w:t>1971</w:t>
      </w:r>
      <w:r>
        <w:rPr>
          <w:szCs w:val="24"/>
        </w:rPr>
        <w:t xml:space="preserve"> of the State of New York, as the same may be amended from time to time (collectively, the “</w:t>
      </w:r>
      <w:r>
        <w:rPr>
          <w:b/>
          <w:szCs w:val="24"/>
        </w:rPr>
        <w:t>Act</w:t>
      </w:r>
      <w:r>
        <w:rPr>
          <w:szCs w:val="24"/>
        </w:rPr>
        <w:t>”); and</w:t>
      </w:r>
    </w:p>
    <w:p w:rsidR="00FA4DBF" w:rsidRDefault="00513EFB" w14:paraId="41EC54B9" w14:textId="77777777">
      <w:pPr>
        <w:pStyle w:val="BodyText"/>
      </w:pPr>
      <w:r>
        <w:t xml:space="preserve">WHEREAS, the Agency contemplates that it will provide financial assistance to the </w:t>
      </w:r>
      <w:r>
        <w:rPr>
          <w:color w:val="000000"/>
          <w:szCs w:val="24"/>
        </w:rPr>
        <w:t>Company in connection with the Facility</w:t>
      </w:r>
      <w:r>
        <w:t>, in the form of exemptions from mortgage recording taxes, exemptions from sales and use taxes and abatement of real property taxes, all to be more particularly described in a Final Authorizing Resolution to be adopted by the Agency prior to any closing of the transaction described herein; and</w:t>
      </w:r>
    </w:p>
    <w:p w:rsidR="00FA4DBF" w:rsidRDefault="00513EFB" w14:paraId="227B0C8F" w14:textId="77777777">
      <w:pPr>
        <w:pStyle w:val="BodyText"/>
        <w:rPr>
          <w:color w:val="000000"/>
          <w:szCs w:val="24"/>
        </w:rPr>
      </w:pPr>
      <w:r>
        <w:rPr>
          <w:color w:val="000000"/>
          <w:szCs w:val="24"/>
        </w:rPr>
        <w:lastRenderedPageBreak/>
        <w:t>WHEREAS, as of the date of this resolution, no determination for financial assistance has been made; and</w:t>
      </w:r>
    </w:p>
    <w:p w:rsidR="00FA4DBF" w:rsidRDefault="00513EFB" w14:paraId="659D8B23" w14:textId="77777777">
      <w:pPr>
        <w:pStyle w:val="BodyText"/>
        <w:rPr>
          <w:szCs w:val="24"/>
        </w:rPr>
      </w:pPr>
      <w:r>
        <w:rPr>
          <w:szCs w:val="24"/>
        </w:rPr>
        <w:t>WHEREAS, the Act authorizes and empowers the Agency to promote, develop, encourage and assist projects such as the Facility and to advance the job opportunities, health, general prosperity and economic welfare of the people of the State of New York; and</w:t>
      </w:r>
    </w:p>
    <w:p w:rsidR="00FA4DBF" w:rsidRDefault="00513EFB" w14:paraId="67EF989A" w14:textId="77777777">
      <w:pPr>
        <w:pStyle w:val="BodyText"/>
      </w:pPr>
      <w:r>
        <w:t>WHEREAS, prior to any closing of the transaction described herein, a public hearing (the “</w:t>
      </w:r>
      <w:r>
        <w:rPr>
          <w:b/>
        </w:rPr>
        <w:t>Hearing</w:t>
      </w:r>
      <w:r>
        <w:t>”) will be held so that all persons with views in favor of or opposed to either the financial assistance contemplated by the Agency or the location or nature of the Facility can be heard; and</w:t>
      </w:r>
    </w:p>
    <w:p w:rsidR="00FA4DBF" w:rsidRDefault="00513EFB" w14:paraId="6DBE3272" w14:textId="77777777">
      <w:pPr>
        <w:pStyle w:val="BodyText"/>
      </w:pPr>
      <w:r>
        <w:t xml:space="preserve">WHEREAS, notice of the Hearing will be given prior to any closing of the transaction described herein, and such notice (together with proof of publication) will be substantially in the form annexed hereto as </w:t>
      </w:r>
      <w:r>
        <w:rPr>
          <w:u w:val="single"/>
        </w:rPr>
        <w:t>Exhibit A</w:t>
      </w:r>
      <w:r>
        <w:t>; and</w:t>
      </w:r>
    </w:p>
    <w:p w:rsidR="00FA4DBF" w:rsidRDefault="00513EFB" w14:paraId="34A22BD6" w14:textId="77777777">
      <w:pPr>
        <w:pStyle w:val="BodyText"/>
      </w:pPr>
      <w:r>
        <w:t xml:space="preserve">WHEREAS, the minutes of the Hearing will be annexed hereto as </w:t>
      </w:r>
      <w:r>
        <w:rPr>
          <w:u w:val="single"/>
        </w:rPr>
        <w:t>Exhibit B</w:t>
      </w:r>
      <w:r>
        <w:t>; and</w:t>
      </w:r>
    </w:p>
    <w:p w:rsidR="00FA4DBF" w:rsidRDefault="00513EFB" w14:paraId="4C788449" w14:textId="77777777">
      <w:pPr>
        <w:pStyle w:val="BodyText"/>
        <w:rPr>
          <w:szCs w:val="24"/>
        </w:rPr>
      </w:pPr>
      <w:r>
        <w:rPr>
          <w:szCs w:val="24"/>
        </w:rPr>
        <w:t xml:space="preserve">WHEREAS, the Agency has given due consideration to the Application and to representations by the Company that the proposed financial assistance is either an inducement to the Company to construct, install and equip the Facility in the </w:t>
      </w:r>
      <w:r>
        <w:rPr>
          <w:color w:val="000000"/>
          <w:szCs w:val="24"/>
        </w:rPr>
        <w:t>Town of Hempstead</w:t>
      </w:r>
      <w:r>
        <w:rPr>
          <w:szCs w:val="24"/>
        </w:rPr>
        <w:t xml:space="preserve"> or is necessary to maintain the competitive position of the Company in its industry; and</w:t>
      </w:r>
    </w:p>
    <w:p w:rsidR="00FA4DBF" w:rsidRDefault="00513EFB" w14:paraId="4677D2AA" w14:textId="77777777">
      <w:pPr>
        <w:pStyle w:val="BodyText"/>
      </w:pPr>
      <w:r>
        <w:t>WHEREAS, the Agency has required the Company to provide to the Agency a feasibility report (the “</w:t>
      </w:r>
      <w:r>
        <w:rPr>
          <w:b/>
        </w:rPr>
        <w:t>Feasibility Study</w:t>
      </w:r>
      <w:r>
        <w:t>” and, together with the other below listed items, collectively, the “</w:t>
      </w:r>
      <w:r>
        <w:rPr>
          <w:b/>
        </w:rPr>
        <w:t>Requisite Materials</w:t>
      </w:r>
      <w:r>
        <w:t xml:space="preserve">”), to enable the Agency to make findings and determinations that the Facility qualifies as a “project” under the Act and that the Facility satisfies all other requirements of the Act, and such Requisite Materials are listed below and attached as </w:t>
      </w:r>
      <w:r>
        <w:rPr>
          <w:u w:val="single"/>
        </w:rPr>
        <w:t>Exhibit C</w:t>
      </w:r>
      <w:r>
        <w:t xml:space="preserve"> hereof:</w:t>
      </w:r>
    </w:p>
    <w:p w:rsidR="00FA4DBF" w:rsidRDefault="00513EFB" w14:paraId="7DD99E0B" w14:textId="4E327542">
      <w:pPr>
        <w:pStyle w:val="BodyText"/>
        <w:numPr>
          <w:ilvl w:val="0"/>
          <w:numId w:val="10"/>
        </w:numPr>
      </w:pPr>
      <w:r>
        <w:t xml:space="preserve">Feasibility Study dated </w:t>
      </w:r>
      <w:r w:rsidR="008C4267">
        <w:t>April 11, 2025</w:t>
      </w:r>
      <w:r>
        <w:t xml:space="preserve"> prepared by </w:t>
      </w:r>
      <w:r w:rsidR="008C4267">
        <w:t>Nelson Pope Voorhis</w:t>
      </w:r>
      <w:r>
        <w:t>;</w:t>
      </w:r>
    </w:p>
    <w:p w:rsidR="00FA4DBF" w:rsidRDefault="00513EFB" w14:paraId="2091077B" w14:textId="2ED8FA95">
      <w:pPr>
        <w:pStyle w:val="BodyText"/>
        <w:numPr>
          <w:ilvl w:val="0"/>
          <w:numId w:val="10"/>
        </w:numPr>
      </w:pPr>
      <w:r>
        <w:t xml:space="preserve">Economic and Fiscal Impact Report dated </w:t>
      </w:r>
      <w:r w:rsidR="00676759">
        <w:t>February 26</w:t>
      </w:r>
      <w:r w:rsidR="008C4267">
        <w:t>, 2026</w:t>
      </w:r>
      <w:r>
        <w:t xml:space="preserve"> prepared by Camoin Associates;</w:t>
      </w:r>
    </w:p>
    <w:p w:rsidR="00FA4DBF" w:rsidRDefault="00513EFB" w14:paraId="76D8BA58" w14:textId="77777777">
      <w:pPr>
        <w:pStyle w:val="BodyText"/>
        <w:numPr>
          <w:ilvl w:val="0"/>
          <w:numId w:val="10"/>
        </w:numPr>
      </w:pPr>
      <w:r>
        <w:t>New York Law Journal Article, dated March 22, 2017 on Eligibility of Residential Developments for IDA Benefits by Anthony Guardino, Esq.; and</w:t>
      </w:r>
    </w:p>
    <w:p w:rsidR="00FA4DBF" w:rsidRDefault="00513EFB" w14:paraId="7371B8CD" w14:textId="77777777">
      <w:pPr>
        <w:pStyle w:val="BodyText"/>
        <w:numPr>
          <w:ilvl w:val="0"/>
          <w:numId w:val="10"/>
        </w:numPr>
      </w:pPr>
      <w:r>
        <w:rPr>
          <w:u w:val="single"/>
        </w:rPr>
        <w:t>Ryan et al. v. Town of Hempstead Industrial Development Agency et al.</w:t>
      </w:r>
      <w:r>
        <w:t>; and</w:t>
      </w:r>
    </w:p>
    <w:p w:rsidR="003F0DD2" w:rsidRDefault="003F0DD2" w14:paraId="099C78D0" w14:textId="69DCD5F4">
      <w:pPr>
        <w:pStyle w:val="BodyText"/>
        <w:numPr>
          <w:ilvl w:val="0"/>
          <w:numId w:val="10"/>
        </w:numPr>
      </w:pPr>
      <w:r>
        <w:rPr>
          <w:u w:val="single"/>
        </w:rPr>
        <w:t>Matter of Wyandanch UFSD v. Town of Babylon Industrial Development Agency et al.</w:t>
      </w:r>
      <w:r>
        <w:t>; and</w:t>
      </w:r>
    </w:p>
    <w:p w:rsidR="00FA4DBF" w:rsidRDefault="00513EFB" w14:paraId="6CCB93F8" w14:textId="786C3FCD">
      <w:pPr>
        <w:pStyle w:val="BodyText"/>
      </w:pPr>
      <w:r>
        <w:t>WHEREAS, the Agency’s Uniform Tax Exemption Policy and Guidelines, as amended to date (the “</w:t>
      </w:r>
      <w:r>
        <w:rPr>
          <w:b/>
        </w:rPr>
        <w:t>UTEP</w:t>
      </w:r>
      <w:r>
        <w:t xml:space="preserve">”), which UTEP is annexed hereto as </w:t>
      </w:r>
      <w:r>
        <w:rPr>
          <w:u w:val="single"/>
        </w:rPr>
        <w:t>Exhibit D</w:t>
      </w:r>
      <w:r>
        <w:t>, provides for the granting of financial assistance by the Agency for certain projects pursuant to Section I.A.(III) (</w:t>
      </w:r>
      <w:r w:rsidR="00526BA1">
        <w:t>market rate housing</w:t>
      </w:r>
      <w:r>
        <w:t xml:space="preserve"> </w:t>
      </w:r>
      <w:r w:rsidR="00526BA1">
        <w:t xml:space="preserve">and mixed use </w:t>
      </w:r>
      <w:r>
        <w:t xml:space="preserve">facilities), and the Agency contemplates that the proposed financial </w:t>
      </w:r>
      <w:r>
        <w:lastRenderedPageBreak/>
        <w:t xml:space="preserve">assistance with respect the granting of an abatement of real property taxes, if approved, would </w:t>
      </w:r>
      <w:r w:rsidR="00526BA1">
        <w:t xml:space="preserve">not </w:t>
      </w:r>
      <w:r>
        <w:t>constitute a deviation from the UTEP; and</w:t>
      </w:r>
    </w:p>
    <w:p w:rsidR="00FA4DBF" w:rsidRDefault="00513EFB" w14:paraId="58F888E7" w14:textId="79178E21">
      <w:pPr>
        <w:pStyle w:val="BodyText"/>
      </w:pPr>
      <w:r>
        <w:t>WHEREAS, the Agency contemplates that, if it approves the Project pursuant to a Final Authorizing Resolution, it would provide financial assistance to the Company in the form of (i) exemptions from sales and use taxes in an amount not to exceed $</w:t>
      </w:r>
      <w:r w:rsidR="00524452">
        <w:t>844,804</w:t>
      </w:r>
      <w:r>
        <w:t>, in connection with the purchase or lease of equipment, building materials, services or other personal property with respect to the Facility, (ii) exemptions from mortgage recording tax (excluding the portion of the mortgage recording tax allocated to transportation districts referred to in Section 253(2)(a) of the Tax Law of the State of  New York), for one or more mortgages securing the principal amount not to exceed $</w:t>
      </w:r>
      <w:r w:rsidR="00524452">
        <w:t xml:space="preserve">14,598,300 </w:t>
      </w:r>
      <w:r>
        <w:t xml:space="preserve">in connection with the financing of the acquisition, construction, installation and equipping of the Facility and any future financing, refinancing or permanent financing of the costs of acquiring, constructing, installing and equipping the Facility, and (iii) abatement of real property taxes (as set forth in the Proposed PILOT Schedule annexed as </w:t>
      </w:r>
      <w:r>
        <w:rPr>
          <w:u w:val="single"/>
        </w:rPr>
        <w:t>Exhibit E</w:t>
      </w:r>
      <w:r>
        <w:t xml:space="preserve"> hereto); provided, however, that all such financial assistance remains subject to further adjustment until the adoption of a Final Authorizing Resolution; and</w:t>
      </w:r>
    </w:p>
    <w:p w:rsidR="00FA4DBF" w:rsidRDefault="00513EFB" w14:paraId="51A8F0D7" w14:textId="423896B8">
      <w:pPr>
        <w:ind w:firstLine="720"/>
        <w:jc w:val="both"/>
        <w:rPr>
          <w:szCs w:val="24"/>
        </w:rPr>
      </w:pPr>
      <w:r>
        <w:rPr>
          <w:szCs w:val="24"/>
        </w:rPr>
        <w:t>WHEREAS, pursuant to Article 8 of the New York Environmental Conservation Law, Chapter 43-B of the Consolidated Laws of New York, as amended (the “</w:t>
      </w:r>
      <w:r>
        <w:rPr>
          <w:b/>
          <w:szCs w:val="24"/>
        </w:rPr>
        <w:t>SEQR Act</w:t>
      </w:r>
      <w:r>
        <w:rPr>
          <w:szCs w:val="24"/>
        </w:rPr>
        <w:t>”) and the regulations adopted pursuant thereto by the Department of Environmental Conservation of the State of New York (“</w:t>
      </w:r>
      <w:r>
        <w:rPr>
          <w:b/>
          <w:szCs w:val="24"/>
        </w:rPr>
        <w:t>NYSDEC</w:t>
      </w:r>
      <w:r>
        <w:rPr>
          <w:szCs w:val="24"/>
        </w:rPr>
        <w:t>”), being 6 NYCRR Part 617, et. seq., as amended (the “</w:t>
      </w:r>
      <w:r>
        <w:rPr>
          <w:b/>
          <w:szCs w:val="24"/>
        </w:rPr>
        <w:t>Regulations</w:t>
      </w:r>
      <w:r>
        <w:rPr>
          <w:szCs w:val="24"/>
        </w:rPr>
        <w:t>” and collectively with the SEQR Act, “</w:t>
      </w:r>
      <w:r>
        <w:rPr>
          <w:b/>
          <w:szCs w:val="24"/>
        </w:rPr>
        <w:t>SEQRA</w:t>
      </w:r>
      <w:r>
        <w:rPr>
          <w:szCs w:val="24"/>
        </w:rPr>
        <w:t xml:space="preserve">”), the Agency must satisfy the requirements contained in SEQRA prior to making a final determination whether to undertake the Project; and </w:t>
      </w:r>
    </w:p>
    <w:p w:rsidR="00FA4DBF" w:rsidRDefault="00FA4DBF" w14:paraId="592C49A9" w14:textId="77777777">
      <w:pPr>
        <w:ind w:firstLine="720"/>
        <w:jc w:val="both"/>
        <w:rPr>
          <w:szCs w:val="24"/>
        </w:rPr>
      </w:pPr>
    </w:p>
    <w:p w:rsidR="00FA4DBF" w:rsidRDefault="00513EFB" w14:paraId="1312C545" w14:textId="20EC21F2">
      <w:pPr>
        <w:ind w:firstLine="720"/>
        <w:jc w:val="both"/>
        <w:rPr>
          <w:szCs w:val="24"/>
        </w:rPr>
      </w:pPr>
      <w:r>
        <w:rPr>
          <w:szCs w:val="24"/>
        </w:rPr>
        <w:t xml:space="preserve">WHEREAS, the </w:t>
      </w:r>
      <w:bookmarkStart w:name="_Hlk222149017" w:id="0"/>
      <w:r>
        <w:rPr>
          <w:szCs w:val="24"/>
        </w:rPr>
        <w:t xml:space="preserve">Town of Hempstead Town Board </w:t>
      </w:r>
      <w:bookmarkEnd w:id="0"/>
      <w:r>
        <w:rPr>
          <w:szCs w:val="24"/>
        </w:rPr>
        <w:t>(the “</w:t>
      </w:r>
      <w:r>
        <w:rPr>
          <w:b/>
          <w:szCs w:val="24"/>
        </w:rPr>
        <w:t>Town Board</w:t>
      </w:r>
      <w:r>
        <w:rPr>
          <w:szCs w:val="24"/>
        </w:rPr>
        <w:t xml:space="preserve">”) proposed to amend the Town </w:t>
      </w:r>
      <w:r w:rsidR="0022197C">
        <w:rPr>
          <w:szCs w:val="24"/>
        </w:rPr>
        <w:t xml:space="preserve">Building </w:t>
      </w:r>
      <w:r>
        <w:rPr>
          <w:szCs w:val="24"/>
        </w:rPr>
        <w:t>Zone Ordinance (the “</w:t>
      </w:r>
      <w:r>
        <w:rPr>
          <w:b/>
          <w:szCs w:val="24"/>
        </w:rPr>
        <w:t>BZO</w:t>
      </w:r>
      <w:r>
        <w:rPr>
          <w:szCs w:val="24"/>
        </w:rPr>
        <w:t>”) in 2019 to create a new overlay district, the Baldwin Mixed Use Overlay District (the “</w:t>
      </w:r>
      <w:r>
        <w:rPr>
          <w:b/>
          <w:szCs w:val="24"/>
        </w:rPr>
        <w:t>B-MX Overlay District</w:t>
      </w:r>
      <w:r>
        <w:rPr>
          <w:szCs w:val="24"/>
        </w:rPr>
        <w:t>”) and accompanying Baldwin Mixed Use Overlay District Guidelines (the “</w:t>
      </w:r>
      <w:r>
        <w:rPr>
          <w:b/>
          <w:szCs w:val="24"/>
        </w:rPr>
        <w:t>B-MX Design Guidelines</w:t>
      </w:r>
      <w:r>
        <w:rPr>
          <w:szCs w:val="24"/>
        </w:rPr>
        <w:t>”), to encourage investment and redevelopment in an approximately 87-acre area in Baldwin that encompasses the Land, and in compliance with SEQRA, the Town Board declared its intent to act as “lead agency,” issued a positive declaration on April 16, 2019 and prepared a Draft Generic Environmental Impact Statement (the “</w:t>
      </w:r>
      <w:r>
        <w:rPr>
          <w:b/>
          <w:szCs w:val="24"/>
        </w:rPr>
        <w:t>DGEIS</w:t>
      </w:r>
      <w:r>
        <w:rPr>
          <w:szCs w:val="24"/>
        </w:rPr>
        <w:t>”) to analyze the potential impacts of the proposed B-MX Overlay District, in which the Town Board undertook a coordinated review, naming the Agency as an Involved Agency; and</w:t>
      </w:r>
    </w:p>
    <w:p w:rsidR="00FA4DBF" w:rsidRDefault="00FA4DBF" w14:paraId="5226989F" w14:textId="77777777">
      <w:pPr>
        <w:ind w:firstLine="720"/>
        <w:jc w:val="both"/>
        <w:rPr>
          <w:szCs w:val="24"/>
        </w:rPr>
      </w:pPr>
    </w:p>
    <w:p w:rsidR="00FA4DBF" w:rsidRDefault="00513EFB" w14:paraId="2DB9DA37" w14:textId="30B3815D">
      <w:pPr>
        <w:ind w:firstLine="720"/>
        <w:jc w:val="both"/>
        <w:rPr>
          <w:szCs w:val="24"/>
        </w:rPr>
      </w:pPr>
      <w:r>
        <w:rPr>
          <w:szCs w:val="24"/>
        </w:rPr>
        <w:t>WHEREAS, following a public hearing and a public comment period, the Town Board filed a Final Generic Environmental Impact Statement (the “</w:t>
      </w:r>
      <w:r>
        <w:rPr>
          <w:b/>
          <w:szCs w:val="24"/>
        </w:rPr>
        <w:t>FGEIS”</w:t>
      </w:r>
      <w:r>
        <w:rPr>
          <w:szCs w:val="24"/>
        </w:rPr>
        <w:t xml:space="preserve">) </w:t>
      </w:r>
      <w:r>
        <w:rPr>
          <w:color w:val="000000"/>
          <w:szCs w:val="24"/>
        </w:rPr>
        <w:t xml:space="preserve">on December 10, </w:t>
      </w:r>
      <w:r>
        <w:rPr>
          <w:szCs w:val="24"/>
        </w:rPr>
        <w:t>2019 and issued its Findings Statement</w:t>
      </w:r>
      <w:r>
        <w:rPr>
          <w:color w:val="000000"/>
          <w:szCs w:val="24"/>
        </w:rPr>
        <w:t xml:space="preserve"> (the “</w:t>
      </w:r>
      <w:r>
        <w:rPr>
          <w:b/>
          <w:color w:val="000000"/>
          <w:szCs w:val="24"/>
        </w:rPr>
        <w:t>Findings Statement</w:t>
      </w:r>
      <w:r>
        <w:rPr>
          <w:color w:val="000000"/>
          <w:szCs w:val="24"/>
        </w:rPr>
        <w:t>”) on January 21, 2020 relative to its adoption of the proposed B-MX Overlay District</w:t>
      </w:r>
      <w:r>
        <w:rPr>
          <w:szCs w:val="24"/>
        </w:rPr>
        <w:t>,</w:t>
      </w:r>
      <w:r>
        <w:rPr>
          <w:color w:val="000000"/>
          <w:szCs w:val="24"/>
        </w:rPr>
        <w:t xml:space="preserve"> which specified conditions in which a proposed development within the B-MX Overlay District would require </w:t>
      </w:r>
      <w:r>
        <w:rPr>
          <w:szCs w:val="24"/>
        </w:rPr>
        <w:t>additional SEQRA review per 6 NYCRR 617.10(d), among which included if a proposed development seeks a variance from the B-M</w:t>
      </w:r>
      <w:r w:rsidR="00845346">
        <w:rPr>
          <w:szCs w:val="24"/>
        </w:rPr>
        <w:t>X</w:t>
      </w:r>
      <w:r>
        <w:rPr>
          <w:szCs w:val="24"/>
        </w:rPr>
        <w:t xml:space="preserve"> Overlay District requirements or does not substantially conform with the intent of the relevant B-MX Design Guidelines; and  </w:t>
      </w:r>
    </w:p>
    <w:p w:rsidR="00B46C10" w:rsidRDefault="00B46C10" w14:paraId="35AB66AC" w14:textId="77777777">
      <w:pPr>
        <w:ind w:firstLine="720"/>
        <w:jc w:val="both"/>
        <w:rPr>
          <w:szCs w:val="24"/>
        </w:rPr>
      </w:pPr>
    </w:p>
    <w:p w:rsidR="00FA4DBF" w:rsidP="00843106" w:rsidRDefault="00B46C10" w14:paraId="4DF52A46" w14:textId="4AAEDA7A">
      <w:pPr>
        <w:ind w:firstLine="720"/>
        <w:jc w:val="both"/>
        <w:rPr>
          <w:sz w:val="22"/>
          <w:szCs w:val="22"/>
        </w:rPr>
      </w:pPr>
      <w:r>
        <w:rPr>
          <w:szCs w:val="24"/>
        </w:rPr>
        <w:t xml:space="preserve">WHEREAS, </w:t>
      </w:r>
      <w:r w:rsidR="0022197C">
        <w:rPr>
          <w:szCs w:val="24"/>
        </w:rPr>
        <w:t xml:space="preserve">in connection with a different project, </w:t>
      </w:r>
      <w:r>
        <w:rPr>
          <w:szCs w:val="24"/>
        </w:rPr>
        <w:t xml:space="preserve">on </w:t>
      </w:r>
      <w:r w:rsidR="001F3BE8">
        <w:rPr>
          <w:szCs w:val="24"/>
        </w:rPr>
        <w:t>January 21, 2025</w:t>
      </w:r>
      <w:r>
        <w:rPr>
          <w:szCs w:val="24"/>
        </w:rPr>
        <w:t xml:space="preserve">, the Agency issued a findings statement pursuant to the FGEIS, certifying that the requirements of 6 NYCRR </w:t>
      </w:r>
      <w:r>
        <w:rPr>
          <w:szCs w:val="24"/>
        </w:rPr>
        <w:lastRenderedPageBreak/>
        <w:t xml:space="preserve">Part 617 have been met and that </w:t>
      </w:r>
      <w:r w:rsidRPr="00B46C10">
        <w:rPr>
          <w:szCs w:val="24"/>
        </w:rPr>
        <w:t xml:space="preserve">consistent with social, economic and other essential considerations from among the reasonable alternatives available, the </w:t>
      </w:r>
      <w:r>
        <w:rPr>
          <w:szCs w:val="24"/>
        </w:rPr>
        <w:t>B-MX Overlay District</w:t>
      </w:r>
      <w:r w:rsidRPr="00B46C10">
        <w:rPr>
          <w:szCs w:val="24"/>
        </w:rPr>
        <w:t xml:space="preserve"> avoids or minimizes adverse environmental impacts to the maximum extent practicable, and that adverse environmental impacts will be avoided or minimized to the maximum extent practicable</w:t>
      </w:r>
      <w:r w:rsidR="00855DC2">
        <w:rPr>
          <w:szCs w:val="24"/>
        </w:rPr>
        <w:t>; and</w:t>
      </w:r>
    </w:p>
    <w:p w:rsidRPr="001D06D6" w:rsidR="001D06D6" w:rsidP="001D06D6" w:rsidRDefault="00513EFB" w14:paraId="462AA94E" w14:textId="77777777">
      <w:pPr>
        <w:jc w:val="both"/>
        <w:rPr>
          <w:szCs w:val="24"/>
        </w:rPr>
      </w:pPr>
      <w:r>
        <w:rPr>
          <w:sz w:val="22"/>
          <w:szCs w:val="22"/>
        </w:rPr>
        <w:tab/>
      </w:r>
    </w:p>
    <w:p w:rsidRPr="000B45EF" w:rsidR="004071B1" w:rsidP="000B45EF" w:rsidRDefault="001D06D6" w14:paraId="35A4D358" w14:textId="627198B5">
      <w:pPr>
        <w:ind w:firstLine="720"/>
        <w:jc w:val="both"/>
        <w:rPr>
          <w:szCs w:val="24"/>
        </w:rPr>
      </w:pPr>
      <w:r w:rsidRPr="004F0483">
        <w:rPr>
          <w:szCs w:val="24"/>
        </w:rPr>
        <w:t xml:space="preserve">WHEREAS, following the adoption and enactment of the B-MX Overlay District, </w:t>
      </w:r>
      <w:r w:rsidR="00845346">
        <w:rPr>
          <w:szCs w:val="24"/>
        </w:rPr>
        <w:t>a</w:t>
      </w:r>
      <w:r w:rsidR="00C64302">
        <w:rPr>
          <w:szCs w:val="24"/>
        </w:rPr>
        <w:t>n</w:t>
      </w:r>
      <w:r w:rsidRPr="004F0483">
        <w:rPr>
          <w:szCs w:val="24"/>
        </w:rPr>
        <w:t xml:space="preserve"> application was filed with the Town Board </w:t>
      </w:r>
      <w:r w:rsidR="00C64302">
        <w:rPr>
          <w:szCs w:val="24"/>
        </w:rPr>
        <w:t xml:space="preserve">with respect to the Project </w:t>
      </w:r>
      <w:r w:rsidRPr="004F0483">
        <w:rPr>
          <w:szCs w:val="24"/>
        </w:rPr>
        <w:t>pursuant to the requirements of the B-MX Overlay District, contained in</w:t>
      </w:r>
      <w:r w:rsidR="00845346">
        <w:rPr>
          <w:szCs w:val="24"/>
        </w:rPr>
        <w:t xml:space="preserve"> Article </w:t>
      </w:r>
      <w:r w:rsidRPr="00845346" w:rsidR="00845346">
        <w:rPr>
          <w:szCs w:val="24"/>
          <w:lang w:val="x-none"/>
        </w:rPr>
        <w:t>XLII</w:t>
      </w:r>
      <w:r w:rsidRPr="004F0483">
        <w:rPr>
          <w:szCs w:val="24"/>
        </w:rPr>
        <w:t xml:space="preserve"> </w:t>
      </w:r>
      <w:r w:rsidR="00845346">
        <w:rPr>
          <w:szCs w:val="24"/>
        </w:rPr>
        <w:t xml:space="preserve">of the </w:t>
      </w:r>
      <w:r w:rsidRPr="004F0483">
        <w:rPr>
          <w:szCs w:val="24"/>
        </w:rPr>
        <w:t xml:space="preserve">BZO, which sought variances and a relaxation from several requirements of the B-MX Overlay District and B-MX Design Guidelines, including: </w:t>
      </w:r>
      <w:r w:rsidRPr="000B45EF" w:rsidR="004071B1">
        <w:rPr>
          <w:szCs w:val="24"/>
        </w:rPr>
        <w:t>(1) the maximum residential density (58 units, where 44 units allowed); (2) the minimum front lot line setback (1.8 feet from property line, where 10 feet are required); (3) the minimum front yard from curb (9.2 feet, where 10 feet are required); (4) a fence height variance; (5) a parking variance for the number of stalls (45 spaces where 49 spaces are required under incentive parking approval); (6) 10 dwelling units on the ground level (whereas according to Section 428</w:t>
      </w:r>
      <w:r w:rsidR="00BC76B1">
        <w:rPr>
          <w:szCs w:val="24"/>
        </w:rPr>
        <w:t>(A)(</w:t>
      </w:r>
      <w:r w:rsidRPr="000B45EF" w:rsidR="004071B1">
        <w:rPr>
          <w:szCs w:val="24"/>
        </w:rPr>
        <w:t>14</w:t>
      </w:r>
      <w:r w:rsidR="00BC76B1">
        <w:rPr>
          <w:szCs w:val="24"/>
        </w:rPr>
        <w:t>)</w:t>
      </w:r>
      <w:r w:rsidRPr="000B45EF" w:rsidR="004071B1">
        <w:rPr>
          <w:szCs w:val="24"/>
        </w:rPr>
        <w:t xml:space="preserve"> of the </w:t>
      </w:r>
      <w:r w:rsidR="00845346">
        <w:rPr>
          <w:szCs w:val="24"/>
        </w:rPr>
        <w:t>BZO</w:t>
      </w:r>
      <w:r w:rsidRPr="000B45EF" w:rsidR="004071B1">
        <w:rPr>
          <w:szCs w:val="24"/>
        </w:rPr>
        <w:t>, residential dwellings are prohibited on the ground floor), and; (7) a development bonus with respect to the floor area ratio (“FAR”) requirement as an FAR of 1.78 is proposed (whereas an FAR of 1.5 is permitted which can be increased by 0.5 to 2.0, with the provision of certain community benefits</w:t>
      </w:r>
      <w:r w:rsidR="00BC76B1">
        <w:rPr>
          <w:szCs w:val="24"/>
        </w:rPr>
        <w:t>) (collectively, 1-7, the “</w:t>
      </w:r>
      <w:r w:rsidRPr="000B45EF" w:rsidR="00BC76B1">
        <w:rPr>
          <w:b/>
          <w:bCs/>
          <w:szCs w:val="24"/>
        </w:rPr>
        <w:t>Variances</w:t>
      </w:r>
      <w:r w:rsidR="00BC76B1">
        <w:rPr>
          <w:szCs w:val="24"/>
        </w:rPr>
        <w:t>”)</w:t>
      </w:r>
      <w:r w:rsidRPr="000B45EF" w:rsidR="004071B1">
        <w:rPr>
          <w:szCs w:val="24"/>
        </w:rPr>
        <w:t>; and</w:t>
      </w:r>
    </w:p>
    <w:p w:rsidRPr="001D06D6" w:rsidR="001D06D6" w:rsidP="000B45EF" w:rsidRDefault="001D06D6" w14:paraId="4E3F7264" w14:textId="68CD030B">
      <w:pPr>
        <w:ind w:firstLine="720"/>
        <w:jc w:val="both"/>
        <w:rPr>
          <w:szCs w:val="24"/>
        </w:rPr>
      </w:pPr>
      <w:r w:rsidRPr="001D06D6">
        <w:rPr>
          <w:szCs w:val="24"/>
        </w:rPr>
        <w:t xml:space="preserve">  </w:t>
      </w:r>
    </w:p>
    <w:p w:rsidRPr="001D06D6" w:rsidR="001D06D6" w:rsidP="001D06D6" w:rsidRDefault="001D06D6" w14:paraId="73143D04" w14:textId="5F10079A">
      <w:pPr>
        <w:jc w:val="both"/>
        <w:rPr>
          <w:szCs w:val="24"/>
        </w:rPr>
      </w:pPr>
      <w:r w:rsidRPr="001D06D6">
        <w:rPr>
          <w:szCs w:val="24"/>
        </w:rPr>
        <w:tab/>
        <w:t xml:space="preserve">WHEREAS, following the filing of the application </w:t>
      </w:r>
      <w:r w:rsidR="00C64302">
        <w:rPr>
          <w:szCs w:val="24"/>
        </w:rPr>
        <w:t xml:space="preserve">with respect to the Project </w:t>
      </w:r>
      <w:r w:rsidRPr="001D06D6">
        <w:rPr>
          <w:szCs w:val="24"/>
        </w:rPr>
        <w:t xml:space="preserve">and noting its need for </w:t>
      </w:r>
      <w:r w:rsidR="00BC76B1">
        <w:rPr>
          <w:szCs w:val="24"/>
        </w:rPr>
        <w:t xml:space="preserve">the Variances, </w:t>
      </w:r>
      <w:r w:rsidRPr="001D06D6">
        <w:rPr>
          <w:szCs w:val="24"/>
        </w:rPr>
        <w:t xml:space="preserve">the Town Board determined that pursuant to the requirements of SEQRA, the FGEIS, and the Findings </w:t>
      </w:r>
      <w:proofErr w:type="gramStart"/>
      <w:r w:rsidRPr="001D06D6">
        <w:rPr>
          <w:szCs w:val="24"/>
        </w:rPr>
        <w:t>Statement, that</w:t>
      </w:r>
      <w:proofErr w:type="gramEnd"/>
      <w:r w:rsidRPr="001D06D6">
        <w:rPr>
          <w:szCs w:val="24"/>
        </w:rPr>
        <w:t xml:space="preserve"> additional SEQRA analysis was required per </w:t>
      </w:r>
      <w:r w:rsidR="00BC76B1">
        <w:rPr>
          <w:szCs w:val="24"/>
        </w:rPr>
        <w:t xml:space="preserve">6 NYCRR </w:t>
      </w:r>
      <w:r w:rsidRPr="001D06D6">
        <w:rPr>
          <w:szCs w:val="24"/>
        </w:rPr>
        <w:t xml:space="preserve">617.10(d) due to the </w:t>
      </w:r>
      <w:r w:rsidR="00884AF3">
        <w:rPr>
          <w:szCs w:val="24"/>
        </w:rPr>
        <w:t>Variances</w:t>
      </w:r>
      <w:r w:rsidRPr="001D06D6">
        <w:rPr>
          <w:szCs w:val="24"/>
        </w:rPr>
        <w:t xml:space="preserve">; and </w:t>
      </w:r>
    </w:p>
    <w:p w:rsidRPr="001D06D6" w:rsidR="001D06D6" w:rsidP="001D06D6" w:rsidRDefault="001D06D6" w14:paraId="6A75C8B9" w14:textId="77777777">
      <w:pPr>
        <w:jc w:val="both"/>
        <w:rPr>
          <w:szCs w:val="24"/>
        </w:rPr>
      </w:pPr>
    </w:p>
    <w:p w:rsidR="00FA4DBF" w:rsidRDefault="001D06D6" w14:paraId="1A3A5CAE" w14:textId="69FC5B9F">
      <w:pPr>
        <w:jc w:val="both"/>
        <w:rPr>
          <w:szCs w:val="24"/>
        </w:rPr>
      </w:pPr>
      <w:r w:rsidRPr="001D06D6">
        <w:rPr>
          <w:szCs w:val="24"/>
        </w:rPr>
        <w:tab/>
        <w:t>WHEREAS, the Town Board then declared itself to be “lead agency” (the “</w:t>
      </w:r>
      <w:r w:rsidRPr="001D06D6">
        <w:rPr>
          <w:b/>
          <w:szCs w:val="24"/>
        </w:rPr>
        <w:t>SEQRA Lead Agency</w:t>
      </w:r>
      <w:r w:rsidRPr="001D06D6">
        <w:rPr>
          <w:szCs w:val="24"/>
        </w:rPr>
        <w:t>”) and undertook a coordinated review of the Project in accordance with SEQRA in which it consulted with all other Involved and Interested Agencies, but such consultation did not include the Agency as the Agency had not yet received an application or otherwise been contemplated as an Involved Agency</w:t>
      </w:r>
      <w:r w:rsidR="00B6519F">
        <w:rPr>
          <w:szCs w:val="24"/>
        </w:rPr>
        <w:t xml:space="preserve"> with respect to the Variances</w:t>
      </w:r>
      <w:r w:rsidRPr="001D06D6">
        <w:rPr>
          <w:szCs w:val="24"/>
        </w:rPr>
        <w:t>, and after its review and consideration of the Project</w:t>
      </w:r>
      <w:r w:rsidR="001D3477">
        <w:rPr>
          <w:szCs w:val="24"/>
        </w:rPr>
        <w:t xml:space="preserve"> and based on the Town Board’s Consultant VHB’s consistency analysis report</w:t>
      </w:r>
      <w:r w:rsidR="00066B6A">
        <w:rPr>
          <w:szCs w:val="24"/>
        </w:rPr>
        <w:t xml:space="preserve"> (“</w:t>
      </w:r>
      <w:r w:rsidRPr="000B45EF" w:rsidR="00066B6A">
        <w:rPr>
          <w:b/>
          <w:bCs/>
          <w:szCs w:val="24"/>
        </w:rPr>
        <w:t>Consistency Analysis</w:t>
      </w:r>
      <w:r w:rsidR="00066B6A">
        <w:rPr>
          <w:szCs w:val="24"/>
        </w:rPr>
        <w:t>”)</w:t>
      </w:r>
      <w:r w:rsidR="001D3477">
        <w:rPr>
          <w:szCs w:val="24"/>
        </w:rPr>
        <w:t xml:space="preserve"> for the Project issued January 22, 2026 detailing the consistency of the Project with the FGEIS and its potential to have any adverse </w:t>
      </w:r>
      <w:r w:rsidR="00066B6A">
        <w:rPr>
          <w:szCs w:val="24"/>
        </w:rPr>
        <w:t>significant</w:t>
      </w:r>
      <w:r w:rsidR="001D3477">
        <w:rPr>
          <w:szCs w:val="24"/>
        </w:rPr>
        <w:t xml:space="preserve"> environmental impacts not otherwise analyzed under the FGEIS,</w:t>
      </w:r>
      <w:r w:rsidRPr="001D06D6">
        <w:rPr>
          <w:szCs w:val="24"/>
        </w:rPr>
        <w:t xml:space="preserve"> the Town Board issued a Negative Declaration</w:t>
      </w:r>
      <w:r w:rsidR="001D3477">
        <w:rPr>
          <w:szCs w:val="24"/>
        </w:rPr>
        <w:t xml:space="preserve"> (“</w:t>
      </w:r>
      <w:r w:rsidRPr="000B45EF" w:rsidR="001D3477">
        <w:rPr>
          <w:b/>
          <w:bCs/>
          <w:szCs w:val="24"/>
        </w:rPr>
        <w:t>Town Negative Declaration</w:t>
      </w:r>
      <w:r w:rsidR="001D3477">
        <w:rPr>
          <w:szCs w:val="24"/>
        </w:rPr>
        <w:t>”</w:t>
      </w:r>
      <w:r w:rsidR="00066B6A">
        <w:rPr>
          <w:szCs w:val="24"/>
        </w:rPr>
        <w:t xml:space="preserve"> and collectively with the Consistency Analysis, the “</w:t>
      </w:r>
      <w:r w:rsidR="00066B6A">
        <w:rPr>
          <w:b/>
          <w:szCs w:val="24"/>
        </w:rPr>
        <w:t>SEQRA Determination</w:t>
      </w:r>
      <w:r w:rsidR="00066B6A">
        <w:rPr>
          <w:szCs w:val="24"/>
        </w:rPr>
        <w:t>”</w:t>
      </w:r>
      <w:r w:rsidR="001D3477">
        <w:rPr>
          <w:szCs w:val="24"/>
        </w:rPr>
        <w:t>)</w:t>
      </w:r>
      <w:r w:rsidRPr="001D06D6">
        <w:rPr>
          <w:szCs w:val="24"/>
        </w:rPr>
        <w:t xml:space="preserve"> on </w:t>
      </w:r>
      <w:r w:rsidR="00884AF3">
        <w:rPr>
          <w:szCs w:val="24"/>
        </w:rPr>
        <w:t>January</w:t>
      </w:r>
      <w:r w:rsidRPr="001D06D6">
        <w:rPr>
          <w:szCs w:val="24"/>
        </w:rPr>
        <w:t xml:space="preserve"> 27, 202</w:t>
      </w:r>
      <w:r w:rsidR="00884AF3">
        <w:rPr>
          <w:szCs w:val="24"/>
        </w:rPr>
        <w:t>6</w:t>
      </w:r>
      <w:r w:rsidRPr="001D06D6">
        <w:rPr>
          <w:szCs w:val="24"/>
        </w:rPr>
        <w:t>, finding that the Project, as designed, would not result in significant impacts to the environment</w:t>
      </w:r>
      <w:r w:rsidR="00066B6A">
        <w:rPr>
          <w:szCs w:val="24"/>
        </w:rPr>
        <w:t xml:space="preserve">; </w:t>
      </w:r>
      <w:r w:rsidRPr="001D06D6">
        <w:rPr>
          <w:szCs w:val="24"/>
        </w:rPr>
        <w:t xml:space="preserve">and </w:t>
      </w:r>
    </w:p>
    <w:p w:rsidR="00FA4DBF" w:rsidRDefault="00FA4DBF" w14:paraId="4C02469E" w14:textId="77777777">
      <w:pPr>
        <w:widowControl w:val="0"/>
        <w:jc w:val="both"/>
        <w:rPr>
          <w:snapToGrid w:val="0"/>
          <w:szCs w:val="24"/>
        </w:rPr>
      </w:pPr>
    </w:p>
    <w:p w:rsidR="00BD06A2" w:rsidP="000B45EF" w:rsidRDefault="00BD06A2" w14:paraId="6164BF43" w14:textId="61C2FC65">
      <w:pPr>
        <w:widowControl w:val="0"/>
        <w:ind w:firstLine="720"/>
        <w:jc w:val="both"/>
        <w:rPr>
          <w:snapToGrid w:val="0"/>
          <w:szCs w:val="24"/>
        </w:rPr>
      </w:pPr>
      <w:r>
        <w:rPr>
          <w:szCs w:val="24"/>
        </w:rPr>
        <w:t xml:space="preserve">WHEREAS, pursuant to SEQRA, </w:t>
      </w:r>
      <w:r w:rsidRPr="00BD06A2">
        <w:rPr>
          <w:szCs w:val="24"/>
        </w:rPr>
        <w:t>the Agency must satisfy the requirements contained in SEQRA prior to making a final determination whether to undertake the Project; and</w:t>
      </w:r>
    </w:p>
    <w:p w:rsidR="00BD06A2" w:rsidRDefault="00513EFB" w14:paraId="0B812C13" w14:textId="77777777">
      <w:pPr>
        <w:widowControl w:val="0"/>
        <w:jc w:val="both"/>
        <w:rPr>
          <w:snapToGrid w:val="0"/>
          <w:szCs w:val="24"/>
        </w:rPr>
      </w:pPr>
      <w:r>
        <w:rPr>
          <w:snapToGrid w:val="0"/>
          <w:szCs w:val="24"/>
        </w:rPr>
        <w:tab/>
      </w:r>
    </w:p>
    <w:p w:rsidR="00FA4DBF" w:rsidP="00843106" w:rsidRDefault="00513EFB" w14:paraId="0E5BF936" w14:textId="05008454">
      <w:pPr>
        <w:widowControl w:val="0"/>
        <w:ind w:firstLine="720"/>
        <w:jc w:val="both"/>
        <w:rPr>
          <w:szCs w:val="24"/>
        </w:rPr>
      </w:pPr>
      <w:r>
        <w:rPr>
          <w:snapToGrid w:val="0"/>
          <w:szCs w:val="24"/>
        </w:rPr>
        <w:t xml:space="preserve">WHEREAS, now </w:t>
      </w:r>
      <w:r>
        <w:rPr>
          <w:szCs w:val="24"/>
        </w:rPr>
        <w:t xml:space="preserve">that the Agency has become an “involved agency” with respect to the Project, the Agency desires to (A) concur in the designation of the Town </w:t>
      </w:r>
      <w:r>
        <w:rPr>
          <w:color w:val="000000"/>
          <w:szCs w:val="24"/>
        </w:rPr>
        <w:t>Board</w:t>
      </w:r>
      <w:r>
        <w:rPr>
          <w:szCs w:val="24"/>
        </w:rPr>
        <w:t xml:space="preserve"> as “lead agency” with respect to the Project, (B) acknowledge receipt of the Town Board’s </w:t>
      </w:r>
      <w:r w:rsidR="00F27588">
        <w:rPr>
          <w:szCs w:val="24"/>
        </w:rPr>
        <w:t>SEQRA D</w:t>
      </w:r>
      <w:r>
        <w:rPr>
          <w:szCs w:val="24"/>
        </w:rPr>
        <w:t xml:space="preserve">etermination with respect to the Project in addition to the record developed by the Town Board </w:t>
      </w:r>
      <w:r>
        <w:rPr>
          <w:szCs w:val="24"/>
        </w:rPr>
        <w:lastRenderedPageBreak/>
        <w:t xml:space="preserve">during its review of the Project, and (C) </w:t>
      </w:r>
      <w:r w:rsidR="00F27588">
        <w:rPr>
          <w:szCs w:val="24"/>
        </w:rPr>
        <w:t xml:space="preserve">concur with the Town Board’s SEQRA Determination in satisfaction with the Agency’s obligation </w:t>
      </w:r>
      <w:r w:rsidR="00B0244A">
        <w:rPr>
          <w:szCs w:val="24"/>
        </w:rPr>
        <w:t>under</w:t>
      </w:r>
      <w:r w:rsidR="00F27588">
        <w:rPr>
          <w:szCs w:val="24"/>
        </w:rPr>
        <w:t xml:space="preserve"> SEQRA</w:t>
      </w:r>
      <w:r>
        <w:rPr>
          <w:szCs w:val="24"/>
        </w:rPr>
        <w:t>; and</w:t>
      </w:r>
    </w:p>
    <w:p w:rsidR="00FA4DBF" w:rsidRDefault="00FA4DBF" w14:paraId="79744FF9" w14:textId="77777777">
      <w:pPr>
        <w:widowControl w:val="0"/>
        <w:jc w:val="both"/>
        <w:rPr>
          <w:szCs w:val="24"/>
        </w:rPr>
      </w:pPr>
    </w:p>
    <w:p w:rsidR="00FA4DBF" w:rsidRDefault="00513EFB" w14:paraId="7E2D0EF8" w14:textId="77777777">
      <w:pPr>
        <w:widowControl w:val="0"/>
        <w:jc w:val="both"/>
        <w:rPr>
          <w:szCs w:val="24"/>
        </w:rPr>
      </w:pPr>
      <w:r>
        <w:rPr>
          <w:szCs w:val="24"/>
        </w:rPr>
        <w:tab/>
        <w:t>WHEREAS, to assist the Agency in its determination, the Agency has also reviewed the full record developed with respect to the approval of the B-MX Overlay District and the B-MX Design Guidelines, in which the Agency was an involved agency, and its consideration combined with the record developed for the Project and the SEQRA Determination will be considered the full record (the “</w:t>
      </w:r>
      <w:r>
        <w:rPr>
          <w:b/>
          <w:szCs w:val="24"/>
        </w:rPr>
        <w:t>SEQRA Record</w:t>
      </w:r>
      <w:r>
        <w:rPr>
          <w:szCs w:val="24"/>
        </w:rPr>
        <w:t xml:space="preserve">”); and </w:t>
      </w:r>
    </w:p>
    <w:p w:rsidR="00FA4DBF" w:rsidRDefault="00FA4DBF" w14:paraId="21A448B1" w14:textId="77777777">
      <w:pPr>
        <w:ind w:firstLine="720"/>
        <w:jc w:val="both"/>
        <w:rPr>
          <w:szCs w:val="24"/>
        </w:rPr>
      </w:pPr>
    </w:p>
    <w:p w:rsidR="00FA4DBF" w:rsidRDefault="00513EFB" w14:paraId="368566DF" w14:textId="77777777">
      <w:pPr>
        <w:ind w:firstLine="720"/>
        <w:jc w:val="both"/>
        <w:rPr>
          <w:szCs w:val="24"/>
        </w:rPr>
      </w:pPr>
      <w:r>
        <w:rPr>
          <w:szCs w:val="24"/>
        </w:rPr>
        <w:t>WHEREAS, the Agency has considered and reviewed the SEQRA Record that was developed by the Town Board acting as SEQRA Lead Agency for the Project, and has reviewed and analyzed the SEQRA Determination by the SEQRA Lead Agency, and said materials are part of the Agency administrative record for the Project; and</w:t>
      </w:r>
    </w:p>
    <w:p w:rsidR="00FA4DBF" w:rsidRDefault="00FA4DBF" w14:paraId="36C8582C" w14:textId="77777777">
      <w:pPr>
        <w:ind w:firstLine="720"/>
        <w:jc w:val="both"/>
        <w:rPr>
          <w:szCs w:val="24"/>
        </w:rPr>
      </w:pPr>
    </w:p>
    <w:p w:rsidRPr="00B46C10" w:rsidR="00B46C10" w:rsidP="00020549" w:rsidRDefault="00B46C10" w14:paraId="5F7BF10E" w14:textId="7825ADCE">
      <w:pPr>
        <w:ind w:firstLine="720"/>
        <w:jc w:val="both"/>
        <w:rPr>
          <w:szCs w:val="24"/>
        </w:rPr>
      </w:pPr>
      <w:r w:rsidRPr="00B46C10">
        <w:rPr>
          <w:szCs w:val="24"/>
        </w:rPr>
        <w:t xml:space="preserve">WHEREAS, prior to making a recommendation about the potential environmental significance of the Project, the Agency has reviewed the Environmental Information, consulted various information sources, and considered the list of activities which are Type I </w:t>
      </w:r>
      <w:r w:rsidRPr="00B46C10">
        <w:rPr>
          <w:szCs w:val="24"/>
        </w:rPr>
        <w:tab/>
        <w:t xml:space="preserve">Actions outlined in Section 617.4 of the </w:t>
      </w:r>
      <w:r w:rsidR="00020549">
        <w:rPr>
          <w:szCs w:val="24"/>
        </w:rPr>
        <w:t>R</w:t>
      </w:r>
      <w:r w:rsidRPr="00B46C10">
        <w:rPr>
          <w:szCs w:val="24"/>
        </w:rPr>
        <w:t xml:space="preserve">egulations, the list of activities  that are Type II Actions outlined in Section 617.5 of the </w:t>
      </w:r>
      <w:r w:rsidR="00020549">
        <w:rPr>
          <w:szCs w:val="24"/>
        </w:rPr>
        <w:t>R</w:t>
      </w:r>
      <w:r w:rsidRPr="00B46C10">
        <w:rPr>
          <w:szCs w:val="24"/>
        </w:rPr>
        <w:t xml:space="preserve">egulations and the criteria for determining significance outlined in Section 617.7 of the </w:t>
      </w:r>
      <w:r w:rsidR="00020549">
        <w:rPr>
          <w:szCs w:val="24"/>
        </w:rPr>
        <w:t>Re</w:t>
      </w:r>
      <w:r w:rsidRPr="00B46C10">
        <w:rPr>
          <w:szCs w:val="24"/>
        </w:rPr>
        <w:t>gulations; and</w:t>
      </w:r>
    </w:p>
    <w:p w:rsidRPr="00B46C10" w:rsidR="00B46C10" w:rsidP="00B46C10" w:rsidRDefault="00B46C10" w14:paraId="30DB8E3D" w14:textId="77777777">
      <w:pPr>
        <w:ind w:firstLine="720"/>
        <w:jc w:val="both"/>
        <w:rPr>
          <w:szCs w:val="24"/>
        </w:rPr>
      </w:pPr>
    </w:p>
    <w:p w:rsidRPr="00B46C10" w:rsidR="00B46C10" w:rsidP="00B46C10" w:rsidRDefault="00B46C10" w14:paraId="71EC8011" w14:textId="55D9AEA2">
      <w:pPr>
        <w:ind w:firstLine="720"/>
        <w:jc w:val="both"/>
        <w:rPr>
          <w:szCs w:val="24"/>
        </w:rPr>
      </w:pPr>
      <w:r w:rsidRPr="00B46C10">
        <w:rPr>
          <w:szCs w:val="24"/>
        </w:rPr>
        <w:t xml:space="preserve">WHEREAS, a thorough analysis of the </w:t>
      </w:r>
      <w:r>
        <w:rPr>
          <w:szCs w:val="24"/>
        </w:rPr>
        <w:t>SEQRA Record</w:t>
      </w:r>
      <w:r w:rsidRPr="00B46C10">
        <w:rPr>
          <w:szCs w:val="24"/>
        </w:rPr>
        <w:t xml:space="preserve"> and potential environmental impacts associated with the Project reveals that the Project will not have any potentially significant adverse environmental impacts; and</w:t>
      </w:r>
    </w:p>
    <w:p w:rsidRPr="00B46C10" w:rsidR="00B46C10" w:rsidP="00B46C10" w:rsidRDefault="00B46C10" w14:paraId="18F9F813" w14:textId="77777777">
      <w:pPr>
        <w:ind w:firstLine="720"/>
        <w:jc w:val="both"/>
        <w:rPr>
          <w:szCs w:val="24"/>
        </w:rPr>
      </w:pPr>
    </w:p>
    <w:p w:rsidR="00FA4DBF" w:rsidP="00B46C10" w:rsidRDefault="00B46C10" w14:paraId="3EEB5DAF" w14:textId="0F5B5134">
      <w:pPr>
        <w:ind w:firstLine="720"/>
        <w:jc w:val="both"/>
        <w:rPr>
          <w:szCs w:val="24"/>
        </w:rPr>
      </w:pPr>
      <w:r w:rsidRPr="00B46C10">
        <w:rPr>
          <w:szCs w:val="24"/>
        </w:rPr>
        <w:t>WHEREAS, it is appropriate that the Agency issue a negative declaration pursuant to SEQRA for the Project.</w:t>
      </w:r>
    </w:p>
    <w:p w:rsidR="00FA4DBF" w:rsidRDefault="00FA4DBF" w14:paraId="6675EA46" w14:textId="77777777">
      <w:pPr>
        <w:ind w:firstLine="720"/>
        <w:jc w:val="both"/>
        <w:rPr>
          <w:szCs w:val="24"/>
        </w:rPr>
      </w:pPr>
    </w:p>
    <w:p w:rsidR="00FA4DBF" w:rsidRDefault="00513EFB" w14:paraId="54A96841" w14:textId="77777777">
      <w:pPr>
        <w:spacing w:after="240"/>
        <w:ind w:firstLine="720"/>
        <w:jc w:val="both"/>
        <w:rPr>
          <w:szCs w:val="24"/>
        </w:rPr>
      </w:pPr>
      <w:r>
        <w:rPr>
          <w:szCs w:val="24"/>
        </w:rPr>
        <w:t xml:space="preserve">NOW, THEREFORE, BE IT RESOLVED by the </w:t>
      </w:r>
      <w:r>
        <w:rPr>
          <w:color w:val="000000"/>
          <w:szCs w:val="24"/>
        </w:rPr>
        <w:t>Town of Hempstead Industrial Development Agency</w:t>
      </w:r>
      <w:r>
        <w:rPr>
          <w:szCs w:val="24"/>
        </w:rPr>
        <w:t xml:space="preserve"> (a majority of the members thereof affirmatively concurring) that:</w:t>
      </w:r>
    </w:p>
    <w:p w:rsidR="00FA4DBF" w:rsidRDefault="00513EFB" w14:paraId="021163E1" w14:textId="77777777">
      <w:pPr>
        <w:spacing w:after="240"/>
        <w:ind w:left="90" w:firstLine="810"/>
        <w:jc w:val="both"/>
        <w:rPr>
          <w:szCs w:val="24"/>
        </w:rPr>
      </w:pPr>
      <w:r>
        <w:rPr>
          <w:szCs w:val="24"/>
          <w:u w:val="single"/>
        </w:rPr>
        <w:t>Section 1</w:t>
      </w:r>
      <w:r>
        <w:rPr>
          <w:szCs w:val="24"/>
        </w:rPr>
        <w:t>.</w:t>
      </w:r>
      <w:r>
        <w:rPr>
          <w:szCs w:val="24"/>
        </w:rPr>
        <w:tab/>
        <w:t xml:space="preserve">Based upon the Agency’s review of the SEQRA Record, the Agency has made the following findings: </w:t>
      </w:r>
    </w:p>
    <w:p w:rsidR="00855DC2" w:rsidP="008C1549" w:rsidRDefault="00855DC2" w14:paraId="06F268AE" w14:textId="5C759C42">
      <w:pPr>
        <w:pStyle w:val="BodyText2"/>
        <w:numPr>
          <w:ilvl w:val="0"/>
          <w:numId w:val="11"/>
        </w:numPr>
        <w:tabs>
          <w:tab w:val="left" w:pos="1440"/>
          <w:tab w:val="left" w:pos="2880"/>
        </w:tabs>
        <w:spacing w:after="0"/>
        <w:ind w:left="1440" w:hanging="720"/>
        <w:rPr>
          <w:szCs w:val="24"/>
        </w:rPr>
      </w:pPr>
      <w:r w:rsidRPr="008C1549">
        <w:rPr>
          <w:szCs w:val="24"/>
        </w:rPr>
        <w:t xml:space="preserve">The Project is an Unlisted Action pursuant to SEQRA because it consists of </w:t>
      </w:r>
      <w:r w:rsidR="004A1017">
        <w:rPr>
          <w:szCs w:val="24"/>
        </w:rPr>
        <w:t xml:space="preserve">construction of a </w:t>
      </w:r>
      <w:r w:rsidRPr="004A1017" w:rsidR="004A1017">
        <w:rPr>
          <w:szCs w:val="24"/>
        </w:rPr>
        <w:t>mixed-use facility consisting of approximately 58 market-rate residential rental units</w:t>
      </w:r>
      <w:r w:rsidRPr="008C1549">
        <w:rPr>
          <w:szCs w:val="24"/>
        </w:rPr>
        <w:t xml:space="preserve"> in a town having a population of more than 150,000 people and does not exceed any Type I thresholds;</w:t>
      </w:r>
    </w:p>
    <w:p w:rsidR="008C1549" w:rsidP="00843106" w:rsidRDefault="008C1549" w14:paraId="34804C58" w14:textId="77777777">
      <w:pPr>
        <w:pStyle w:val="BodyText2"/>
        <w:tabs>
          <w:tab w:val="left" w:pos="1440"/>
          <w:tab w:val="left" w:pos="2880"/>
        </w:tabs>
        <w:spacing w:after="0"/>
        <w:ind w:left="1440" w:firstLine="0"/>
        <w:rPr>
          <w:szCs w:val="24"/>
        </w:rPr>
      </w:pPr>
    </w:p>
    <w:p w:rsidR="008C1549" w:rsidP="008C1549" w:rsidRDefault="008C1549" w14:paraId="019FD912" w14:textId="16F5F13A">
      <w:pPr>
        <w:pStyle w:val="BodyText2"/>
        <w:numPr>
          <w:ilvl w:val="0"/>
          <w:numId w:val="11"/>
        </w:numPr>
        <w:tabs>
          <w:tab w:val="left" w:pos="1440"/>
          <w:tab w:val="left" w:pos="2880"/>
        </w:tabs>
        <w:spacing w:after="0"/>
        <w:ind w:left="1440" w:hanging="720"/>
        <w:rPr>
          <w:szCs w:val="24"/>
        </w:rPr>
      </w:pPr>
      <w:r w:rsidRPr="00855DC2">
        <w:rPr>
          <w:szCs w:val="24"/>
        </w:rPr>
        <w:t>The Agency has undertaken an uncoordinated review of the Project in accordance with the requirements of SEQRA;</w:t>
      </w:r>
    </w:p>
    <w:p w:rsidR="008C1549" w:rsidP="00843106" w:rsidRDefault="008C1549" w14:paraId="237EF7CE" w14:textId="77777777">
      <w:pPr>
        <w:pStyle w:val="ListParagraph"/>
      </w:pPr>
    </w:p>
    <w:p w:rsidR="00843106" w:rsidP="00843106" w:rsidRDefault="008C1549" w14:paraId="50B6BAAE" w14:textId="77777777">
      <w:pPr>
        <w:pStyle w:val="BodyText2"/>
        <w:numPr>
          <w:ilvl w:val="0"/>
          <w:numId w:val="11"/>
        </w:numPr>
        <w:tabs>
          <w:tab w:val="left" w:pos="1440"/>
          <w:tab w:val="left" w:pos="2880"/>
        </w:tabs>
        <w:spacing w:after="0"/>
        <w:ind w:left="1440" w:hanging="720"/>
        <w:rPr>
          <w:szCs w:val="24"/>
        </w:rPr>
      </w:pPr>
      <w:r w:rsidRPr="00855DC2">
        <w:rPr>
          <w:szCs w:val="24"/>
        </w:rPr>
        <w:t xml:space="preserve">No potentially significant adverse impacts on the environment are noted in the </w:t>
      </w:r>
      <w:r w:rsidR="004A1017">
        <w:rPr>
          <w:szCs w:val="24"/>
        </w:rPr>
        <w:t>SEQRA Record</w:t>
      </w:r>
      <w:r w:rsidRPr="00855DC2">
        <w:rPr>
          <w:szCs w:val="24"/>
        </w:rPr>
        <w:t xml:space="preserve"> and none are known to the Agency; and</w:t>
      </w:r>
    </w:p>
    <w:p w:rsidR="00843106" w:rsidP="00843106" w:rsidRDefault="00843106" w14:paraId="0D24966E" w14:textId="77777777">
      <w:pPr>
        <w:pStyle w:val="ListParagraph"/>
      </w:pPr>
    </w:p>
    <w:p w:rsidRPr="00EB3E48" w:rsidR="006706B1" w:rsidP="00EB3E48" w:rsidRDefault="00513EFB" w14:paraId="5FDADC02" w14:textId="5D47A621">
      <w:pPr>
        <w:pStyle w:val="BodyText2"/>
        <w:numPr>
          <w:ilvl w:val="0"/>
          <w:numId w:val="11"/>
        </w:numPr>
        <w:tabs>
          <w:tab w:val="left" w:pos="1440"/>
          <w:tab w:val="left" w:pos="2880"/>
        </w:tabs>
        <w:spacing w:after="0"/>
        <w:ind w:left="1440" w:hanging="720"/>
        <w:rPr>
          <w:szCs w:val="24"/>
        </w:rPr>
      </w:pPr>
      <w:r w:rsidRPr="00843106">
        <w:rPr>
          <w:szCs w:val="24"/>
        </w:rPr>
        <w:t xml:space="preserve">The Agency’s </w:t>
      </w:r>
      <w:r w:rsidR="00B6519F">
        <w:rPr>
          <w:szCs w:val="24"/>
        </w:rPr>
        <w:t>reasons supporting its determination</w:t>
      </w:r>
      <w:r w:rsidRPr="00843106">
        <w:rPr>
          <w:szCs w:val="24"/>
        </w:rPr>
        <w:t xml:space="preserve"> attached as </w:t>
      </w:r>
      <w:r w:rsidRPr="00843106">
        <w:rPr>
          <w:szCs w:val="24"/>
          <w:u w:val="single"/>
        </w:rPr>
        <w:t>Exhibit F</w:t>
      </w:r>
      <w:r w:rsidRPr="00843106">
        <w:rPr>
          <w:szCs w:val="24"/>
        </w:rPr>
        <w:t xml:space="preserve">, incorporated herein by reference, is issued and adopted for the reasons stated </w:t>
      </w:r>
      <w:r w:rsidRPr="00843106">
        <w:rPr>
          <w:szCs w:val="24"/>
        </w:rPr>
        <w:lastRenderedPageBreak/>
        <w:t>therein</w:t>
      </w:r>
      <w:r w:rsidR="00DF03F8">
        <w:rPr>
          <w:szCs w:val="24"/>
        </w:rPr>
        <w:t>.  S</w:t>
      </w:r>
      <w:r w:rsidR="00B6519F">
        <w:rPr>
          <w:szCs w:val="24"/>
        </w:rPr>
        <w:t>ince</w:t>
      </w:r>
      <w:r w:rsidRPr="00843106">
        <w:rPr>
          <w:szCs w:val="24"/>
        </w:rPr>
        <w:t xml:space="preserve"> </w:t>
      </w:r>
      <w:r w:rsidRPr="00DF03F8" w:rsidR="00DF03F8">
        <w:rPr>
          <w:szCs w:val="24"/>
        </w:rPr>
        <w:t>the Project will not have a significant adverse impact on the environment, a negative declaration (</w:t>
      </w:r>
      <w:r w:rsidR="00DF03F8">
        <w:rPr>
          <w:szCs w:val="24"/>
        </w:rPr>
        <w:t xml:space="preserve">the </w:t>
      </w:r>
      <w:r w:rsidRPr="00DF03F8" w:rsidR="00DF03F8">
        <w:rPr>
          <w:szCs w:val="24"/>
        </w:rPr>
        <w:t>“</w:t>
      </w:r>
      <w:r w:rsidRPr="0058569B" w:rsidR="00DF03F8">
        <w:rPr>
          <w:b/>
          <w:bCs/>
          <w:szCs w:val="24"/>
        </w:rPr>
        <w:t>Agency’s Negative Declaration</w:t>
      </w:r>
      <w:r w:rsidRPr="00DF03F8" w:rsidR="00DF03F8">
        <w:rPr>
          <w:szCs w:val="24"/>
        </w:rPr>
        <w:t>”) pursuant to SEQRA is hereby issued, and the EAF Parts II and III prepared by the Agency are hereby adopted.  This Negative Declaration has been prepared pursuant to and in accordance with the requirements of SEQRA</w:t>
      </w:r>
      <w:r w:rsidR="00DF03F8">
        <w:rPr>
          <w:szCs w:val="24"/>
        </w:rPr>
        <w:t>.</w:t>
      </w:r>
    </w:p>
    <w:p w:rsidR="004A1017" w:rsidP="0058569B" w:rsidRDefault="004A1017" w14:paraId="513DAB36" w14:textId="77777777">
      <w:pPr>
        <w:pStyle w:val="BodyText2"/>
        <w:tabs>
          <w:tab w:val="left" w:pos="1440"/>
          <w:tab w:val="left" w:pos="2880"/>
        </w:tabs>
        <w:spacing w:after="0"/>
        <w:rPr>
          <w:szCs w:val="24"/>
          <w:u w:val="single"/>
        </w:rPr>
      </w:pPr>
    </w:p>
    <w:p w:rsidR="00FA4DBF" w:rsidRDefault="00513EFB" w14:paraId="5EE22016" w14:textId="0CBCF008">
      <w:pPr>
        <w:spacing w:after="240"/>
        <w:ind w:left="90" w:firstLine="810"/>
        <w:jc w:val="both"/>
        <w:rPr>
          <w:szCs w:val="24"/>
        </w:rPr>
      </w:pPr>
      <w:r>
        <w:rPr>
          <w:szCs w:val="24"/>
          <w:u w:val="single"/>
        </w:rPr>
        <w:t>Section 2</w:t>
      </w:r>
      <w:r>
        <w:rPr>
          <w:szCs w:val="24"/>
        </w:rPr>
        <w:t>.</w:t>
      </w:r>
      <w:r>
        <w:rPr>
          <w:szCs w:val="24"/>
        </w:rPr>
        <w:tab/>
        <w:t xml:space="preserve">In connection with the </w:t>
      </w:r>
      <w:r>
        <w:rPr>
          <w:color w:val="000000"/>
          <w:szCs w:val="24"/>
        </w:rPr>
        <w:t>acquisition, construction, installation and equipping</w:t>
      </w:r>
      <w:r>
        <w:rPr>
          <w:szCs w:val="24"/>
        </w:rPr>
        <w:t xml:space="preserve"> of the Facility, the Agency hereby makes the following determinations and findings based upon the Agency’s review of the information provided by the Company with respect to the Facility, including the Application, the Requisite Materials and other public information:</w:t>
      </w:r>
    </w:p>
    <w:p w:rsidR="00FA4DBF" w:rsidRDefault="00513EFB" w14:paraId="23F5DCD6" w14:textId="77777777">
      <w:pPr>
        <w:pStyle w:val="BodyText2"/>
        <w:numPr>
          <w:ilvl w:val="0"/>
          <w:numId w:val="11"/>
        </w:numPr>
        <w:tabs>
          <w:tab w:val="left" w:pos="1440"/>
          <w:tab w:val="left" w:pos="2880"/>
        </w:tabs>
        <w:spacing w:after="0"/>
        <w:ind w:left="1440" w:hanging="720"/>
        <w:rPr>
          <w:szCs w:val="24"/>
        </w:rPr>
      </w:pPr>
      <w:r>
        <w:rPr>
          <w:szCs w:val="24"/>
        </w:rPr>
        <w:t>There is a lack of affordable, safe, clean and modern rental housing in the Town of Hempstead, Nassau County;</w:t>
      </w:r>
    </w:p>
    <w:p w:rsidR="00FA4DBF" w:rsidRDefault="00FA4DBF" w14:paraId="2A25C659" w14:textId="77777777">
      <w:pPr>
        <w:pStyle w:val="BodyText2"/>
        <w:tabs>
          <w:tab w:val="left" w:pos="1440"/>
          <w:tab w:val="left" w:pos="2880"/>
        </w:tabs>
        <w:spacing w:after="0"/>
        <w:ind w:left="1080"/>
        <w:rPr>
          <w:szCs w:val="24"/>
        </w:rPr>
      </w:pPr>
    </w:p>
    <w:p w:rsidR="00FA4DBF" w:rsidRDefault="00513EFB" w14:paraId="06371E8D" w14:textId="77777777">
      <w:pPr>
        <w:pStyle w:val="BodyText2"/>
        <w:tabs>
          <w:tab w:val="left" w:pos="1440"/>
          <w:tab w:val="left" w:pos="2880"/>
        </w:tabs>
        <w:spacing w:after="0"/>
        <w:ind w:left="1440" w:hanging="720"/>
        <w:rPr>
          <w:szCs w:val="24"/>
        </w:rPr>
      </w:pPr>
      <w:r>
        <w:rPr>
          <w:szCs w:val="24"/>
        </w:rPr>
        <w:t>(b)</w:t>
      </w:r>
      <w:r>
        <w:rPr>
          <w:szCs w:val="24"/>
        </w:rPr>
        <w:tab/>
        <w:t>Such lack of rental housing has resulted in individuals leaving the Town of Hempstead and therefore adversely affecting employers, businesses, retailers, banks, financial institutions, insurance companies, health and legal services providers and other merchants in the Town of Hempstead and otherwise adversely impacting the economic health and well-being of the residents of the Town of Hempstead, employers, and the tax base of the Town of Hempstead;</w:t>
      </w:r>
    </w:p>
    <w:p w:rsidR="00FA4DBF" w:rsidRDefault="00FA4DBF" w14:paraId="0B9BAF03" w14:textId="77777777">
      <w:pPr>
        <w:pStyle w:val="BodyText2"/>
        <w:tabs>
          <w:tab w:val="left" w:pos="1440"/>
          <w:tab w:val="left" w:pos="2880"/>
        </w:tabs>
        <w:spacing w:after="0"/>
        <w:ind w:left="1440" w:hanging="720"/>
        <w:rPr>
          <w:szCs w:val="24"/>
        </w:rPr>
      </w:pPr>
    </w:p>
    <w:p w:rsidR="00FA4DBF" w:rsidRDefault="00513EFB" w14:paraId="6E95CADF" w14:textId="77777777">
      <w:pPr>
        <w:pStyle w:val="BodyText2"/>
        <w:tabs>
          <w:tab w:val="left" w:pos="1440"/>
          <w:tab w:val="left" w:pos="2880"/>
        </w:tabs>
        <w:spacing w:after="0"/>
        <w:ind w:left="1440" w:hanging="720"/>
        <w:rPr>
          <w:szCs w:val="24"/>
        </w:rPr>
      </w:pPr>
      <w:r>
        <w:rPr>
          <w:szCs w:val="24"/>
        </w:rPr>
        <w:t>(c)</w:t>
      </w:r>
      <w:r>
        <w:rPr>
          <w:szCs w:val="24"/>
        </w:rPr>
        <w:tab/>
        <w:t>The Facility, by providing such rental housing will enable persons to remain in  the Town of Hempstead and thereby to support the businesses, retailers, banks, and other financial institutions, insurance companies, health care and legal services providers and other merchants in the Town of Hempstead which will increase the economic health and well-being of the residents of the Town of Hempstead, help preserve and increase permanent private sector jobs in furtherance of the Agency’s public purposes as set forth in the Act, and therefore the Agency finds and determines that the Facility is a commercial project within the meaning of Section 854(4) of the Act; and</w:t>
      </w:r>
    </w:p>
    <w:p w:rsidR="00FA4DBF" w:rsidRDefault="00FA4DBF" w14:paraId="0394C37A" w14:textId="77777777">
      <w:pPr>
        <w:pStyle w:val="BodyText2"/>
        <w:tabs>
          <w:tab w:val="left" w:pos="1440"/>
          <w:tab w:val="left" w:pos="2880"/>
        </w:tabs>
        <w:spacing w:after="0"/>
        <w:ind w:left="1440" w:hanging="720"/>
        <w:rPr>
          <w:szCs w:val="24"/>
        </w:rPr>
      </w:pPr>
    </w:p>
    <w:p w:rsidR="00FA4DBF" w:rsidRDefault="00513EFB" w14:paraId="7D1BD989" w14:textId="77777777">
      <w:pPr>
        <w:pStyle w:val="BodyText2"/>
        <w:tabs>
          <w:tab w:val="left" w:pos="1440"/>
          <w:tab w:val="left" w:pos="2880"/>
        </w:tabs>
        <w:ind w:left="1440" w:hanging="720"/>
        <w:rPr>
          <w:szCs w:val="24"/>
        </w:rPr>
      </w:pPr>
      <w:r>
        <w:rPr>
          <w:szCs w:val="24"/>
        </w:rPr>
        <w:t>(d)</w:t>
      </w:r>
      <w:r>
        <w:rPr>
          <w:szCs w:val="24"/>
        </w:rPr>
        <w:tab/>
        <w:t>The Facility will provide services, i.e., rental housing, which but for the Facility, would not otherwise be reasonably accessible to the residents of the Town of Hempstead.</w:t>
      </w:r>
    </w:p>
    <w:p w:rsidR="00FA4DBF" w:rsidRDefault="00513EFB" w14:paraId="30756225" w14:textId="77777777">
      <w:pPr>
        <w:pStyle w:val="BodyText"/>
        <w:rPr>
          <w:szCs w:val="24"/>
        </w:rPr>
      </w:pPr>
      <w:r>
        <w:rPr>
          <w:szCs w:val="24"/>
          <w:u w:val="single"/>
        </w:rPr>
        <w:t>Section 3</w:t>
      </w:r>
      <w:r>
        <w:rPr>
          <w:szCs w:val="24"/>
        </w:rPr>
        <w:t>.</w:t>
      </w:r>
      <w:r>
        <w:rPr>
          <w:szCs w:val="24"/>
        </w:rPr>
        <w:tab/>
        <w:t xml:space="preserve">The </w:t>
      </w:r>
      <w:r>
        <w:rPr>
          <w:color w:val="000000"/>
          <w:szCs w:val="24"/>
        </w:rPr>
        <w:t>acquisition, construction, installation and equipping</w:t>
      </w:r>
      <w:r>
        <w:rPr>
          <w:szCs w:val="24"/>
        </w:rPr>
        <w:t xml:space="preserve"> of the Facility by the Agency, the subleasing of the Land and the Improvements to the Company, the leasing of the Equipment to the Company and the provision of financial assistance pursuant to the Act will promote job opportunities, health, general prosperity and the economic welfare of the inhabitants of the </w:t>
      </w:r>
      <w:r>
        <w:rPr>
          <w:color w:val="000000"/>
          <w:szCs w:val="24"/>
        </w:rPr>
        <w:t xml:space="preserve">Town of Hempstead </w:t>
      </w:r>
      <w:r>
        <w:rPr>
          <w:szCs w:val="24"/>
        </w:rPr>
        <w:t>and the people of the State of New York and improve their standard of living, and thereby serve the public purposes of the Act, and subject to the provisions of this resolution, the same is, therefore, approved.</w:t>
      </w:r>
    </w:p>
    <w:p w:rsidR="00FA4DBF" w:rsidRDefault="00513EFB" w14:paraId="2242E535" w14:textId="77777777">
      <w:pPr>
        <w:pStyle w:val="BodyText"/>
        <w:rPr>
          <w:szCs w:val="24"/>
        </w:rPr>
      </w:pPr>
      <w:r>
        <w:rPr>
          <w:szCs w:val="24"/>
          <w:u w:val="single"/>
        </w:rPr>
        <w:t>Section 4</w:t>
      </w:r>
      <w:r>
        <w:rPr>
          <w:szCs w:val="24"/>
        </w:rPr>
        <w:t>.</w:t>
      </w:r>
      <w:r>
        <w:rPr>
          <w:szCs w:val="24"/>
        </w:rPr>
        <w:tab/>
        <w:t>Subject to the provisions of this resolution, the Agency shall (i) </w:t>
      </w:r>
      <w:r>
        <w:rPr>
          <w:color w:val="000000"/>
          <w:szCs w:val="24"/>
        </w:rPr>
        <w:t>acquire, construct, install and equip</w:t>
      </w:r>
      <w:r>
        <w:rPr>
          <w:szCs w:val="24"/>
        </w:rPr>
        <w:t xml:space="preserve"> the Facility; and (ii) lease and sublease the Facility to the Company.</w:t>
      </w:r>
    </w:p>
    <w:p w:rsidR="00FA4DBF" w:rsidRDefault="00513EFB" w14:paraId="7B5FEBD5" w14:textId="77777777">
      <w:pPr>
        <w:pStyle w:val="BodyText"/>
        <w:rPr>
          <w:szCs w:val="24"/>
        </w:rPr>
      </w:pPr>
      <w:r>
        <w:rPr>
          <w:szCs w:val="24"/>
          <w:u w:val="single"/>
        </w:rPr>
        <w:lastRenderedPageBreak/>
        <w:t>Section 5</w:t>
      </w:r>
      <w:r>
        <w:rPr>
          <w:szCs w:val="24"/>
        </w:rPr>
        <w:t>.</w:t>
      </w:r>
      <w:r>
        <w:rPr>
          <w:szCs w:val="24"/>
        </w:rPr>
        <w:tab/>
        <w:t>The Company is hereby notified that it will be required to comply with Section 875 of the Act.  The Company shall be required to agree to the terms of Section 875 pursuant to the Lease and Project Agreement, dated a date to be determined (the “</w:t>
      </w:r>
      <w:r>
        <w:rPr>
          <w:b/>
          <w:szCs w:val="24"/>
        </w:rPr>
        <w:t>Lease Agreement</w:t>
      </w:r>
      <w:r>
        <w:rPr>
          <w:szCs w:val="24"/>
        </w:rPr>
        <w:t>”), by and between the Company and the Agency. The Company is further notified that the tax exemptions and abatements provided pursuant to the Act and the appointment of the Company as agent of the Agency pursuant to this resolution are subject to termination and recapture of benefits pursuant to Sections 859-a and 875 of the Act and the recapture provisions of the Lease Agreement.</w:t>
      </w:r>
    </w:p>
    <w:p w:rsidR="00FA4DBF" w:rsidRDefault="00513EFB" w14:paraId="29E73275" w14:textId="77777777">
      <w:pPr>
        <w:pStyle w:val="BodyText"/>
        <w:rPr>
          <w:szCs w:val="24"/>
        </w:rPr>
      </w:pPr>
      <w:r>
        <w:rPr>
          <w:szCs w:val="24"/>
          <w:u w:val="single"/>
        </w:rPr>
        <w:t>Section 6</w:t>
      </w:r>
      <w:r>
        <w:rPr>
          <w:szCs w:val="24"/>
        </w:rPr>
        <w:t>.</w:t>
      </w:r>
      <w:r>
        <w:rPr>
          <w:szCs w:val="24"/>
        </w:rPr>
        <w:tab/>
        <w:t>Counsel to the Agency is authorized and directed to work with Transaction Counsel (Phillips Lytle LLP) to prepare, for submission to the Agency, all documents necessary to affect the transfer of the real estate and personal property described in the foregoing resolution.</w:t>
      </w:r>
    </w:p>
    <w:p w:rsidR="00FA4DBF" w:rsidRDefault="00513EFB" w14:paraId="25877185" w14:textId="77777777">
      <w:pPr>
        <w:pStyle w:val="BodyText"/>
        <w:rPr>
          <w:szCs w:val="24"/>
        </w:rPr>
      </w:pPr>
      <w:r>
        <w:rPr>
          <w:szCs w:val="24"/>
          <w:u w:val="single"/>
        </w:rPr>
        <w:t>Section 7</w:t>
      </w:r>
      <w:r>
        <w:rPr>
          <w:szCs w:val="24"/>
        </w:rPr>
        <w:t>.</w:t>
      </w:r>
      <w:r>
        <w:rPr>
          <w:szCs w:val="24"/>
        </w:rPr>
        <w:tab/>
        <w:t xml:space="preserve">Notwithstanding the foregoing provisions hereof, this resolution is subject to the Company obtaining any necessary building permits for the acquiring, constructing, installing, equipping and operation of the Facility. </w:t>
      </w:r>
    </w:p>
    <w:p w:rsidR="00FA4DBF" w:rsidRDefault="00513EFB" w14:paraId="581ACBF0" w14:textId="77777777">
      <w:pPr>
        <w:pStyle w:val="BodyText"/>
        <w:rPr>
          <w:b/>
          <w:szCs w:val="24"/>
        </w:rPr>
      </w:pPr>
      <w:r>
        <w:rPr>
          <w:szCs w:val="24"/>
          <w:u w:val="single"/>
        </w:rPr>
        <w:t>Section 8</w:t>
      </w:r>
      <w:r>
        <w:rPr>
          <w:szCs w:val="24"/>
        </w:rPr>
        <w:t>.</w:t>
      </w:r>
      <w:r>
        <w:rPr>
          <w:szCs w:val="24"/>
        </w:rPr>
        <w:tab/>
        <w:t xml:space="preserve">The Vice Chairman, </w:t>
      </w:r>
      <w:r>
        <w:rPr>
          <w:color w:val="000000"/>
          <w:szCs w:val="24"/>
        </w:rPr>
        <w:t xml:space="preserve">the Chief Executive Officer, the Deputy Executive Director </w:t>
      </w:r>
      <w:r>
        <w:rPr>
          <w:szCs w:val="24"/>
        </w:rPr>
        <w:t>and all members of the Agency are hereby authorized and directed (i) to distribute copies of this resolution to the Company and to such other parties as may be required by applicable laws and regulations, and (ii) to do such further things or perform such acts as may be necessary or convenient to implement the provisions of this resolution.</w:t>
      </w:r>
    </w:p>
    <w:p w:rsidR="00FA4DBF" w:rsidRDefault="00513EFB" w14:paraId="170EA11D" w14:textId="77777777">
      <w:pPr>
        <w:pStyle w:val="BodyText"/>
        <w:spacing w:after="0"/>
        <w:ind w:right="-18"/>
        <w:rPr>
          <w:szCs w:val="24"/>
        </w:rPr>
      </w:pPr>
      <w:r>
        <w:rPr>
          <w:szCs w:val="24"/>
          <w:u w:val="single"/>
        </w:rPr>
        <w:t>Section 9</w:t>
      </w:r>
      <w:r>
        <w:rPr>
          <w:szCs w:val="24"/>
        </w:rPr>
        <w:t>.</w:t>
      </w:r>
      <w:r>
        <w:rPr>
          <w:szCs w:val="24"/>
        </w:rPr>
        <w:tab/>
        <w:t xml:space="preserve">Any expenses incurred by the Agency and Transaction Counsel with respect to the Facility shall be paid by the Company. The Company agrees to pay such expenses and further agree to indemnify the Agency, its members, directors, employees and agents and hold the Agency and such </w:t>
      </w:r>
      <w:proofErr w:type="gramStart"/>
      <w:r>
        <w:rPr>
          <w:szCs w:val="24"/>
        </w:rPr>
        <w:t>persons</w:t>
      </w:r>
      <w:proofErr w:type="gramEnd"/>
      <w:r>
        <w:rPr>
          <w:szCs w:val="24"/>
        </w:rPr>
        <w:t xml:space="preserve"> harmless against claims for losses, damage or injury or any expenses or damages incurred </w:t>
      </w:r>
      <w:proofErr w:type="gramStart"/>
      <w:r>
        <w:rPr>
          <w:szCs w:val="24"/>
        </w:rPr>
        <w:t>as a result of</w:t>
      </w:r>
      <w:proofErr w:type="gramEnd"/>
      <w:r>
        <w:rPr>
          <w:szCs w:val="24"/>
        </w:rPr>
        <w:t xml:space="preserve"> action taken by or on behalf of the Agency in good faith with respect to the Facility.</w:t>
      </w:r>
    </w:p>
    <w:p w:rsidR="00FA4DBF" w:rsidRDefault="00FA4DBF" w14:paraId="274790BB" w14:textId="77777777">
      <w:pPr>
        <w:pStyle w:val="BodyText"/>
        <w:spacing w:after="0"/>
        <w:ind w:right="-18"/>
        <w:rPr>
          <w:szCs w:val="24"/>
        </w:rPr>
      </w:pPr>
    </w:p>
    <w:p w:rsidR="00FA4DBF" w:rsidRDefault="00513EFB" w14:paraId="7F881C70" w14:textId="77777777">
      <w:pPr>
        <w:pStyle w:val="BodyText"/>
        <w:spacing w:after="0"/>
        <w:ind w:right="-18"/>
        <w:rPr>
          <w:szCs w:val="24"/>
        </w:rPr>
      </w:pPr>
      <w:r>
        <w:rPr>
          <w:szCs w:val="24"/>
          <w:u w:val="single"/>
        </w:rPr>
        <w:t>Section 10</w:t>
      </w:r>
      <w:r>
        <w:rPr>
          <w:szCs w:val="24"/>
        </w:rPr>
        <w:t>.</w:t>
      </w:r>
      <w:r>
        <w:rPr>
          <w:szCs w:val="24"/>
        </w:rPr>
        <w:tab/>
        <w:t>The Agency may publish and issue notices of a public hearing and conduct such public hearing with respect to the location and nature of the Project and the financial assistance, if any, to be granted by the Agency to the Company, in accordance with the provisions of Sections 857 and 859-a of the Act.</w:t>
      </w:r>
    </w:p>
    <w:p w:rsidR="00FA4DBF" w:rsidRDefault="00FA4DBF" w14:paraId="23B7F1F8" w14:textId="77777777">
      <w:pPr>
        <w:pStyle w:val="BodyText"/>
        <w:spacing w:after="0"/>
        <w:ind w:right="-18"/>
        <w:rPr>
          <w:szCs w:val="24"/>
        </w:rPr>
      </w:pPr>
    </w:p>
    <w:p w:rsidR="00FA4DBF" w:rsidRDefault="00513EFB" w14:paraId="62CA858B" w14:textId="77777777">
      <w:pPr>
        <w:pStyle w:val="BodyText"/>
        <w:spacing w:after="0"/>
        <w:ind w:right="-18"/>
        <w:rPr>
          <w:szCs w:val="24"/>
        </w:rPr>
      </w:pPr>
      <w:r>
        <w:rPr>
          <w:szCs w:val="24"/>
          <w:u w:val="single"/>
        </w:rPr>
        <w:t>Section 11</w:t>
      </w:r>
      <w:r>
        <w:rPr>
          <w:szCs w:val="24"/>
        </w:rPr>
        <w:t>.</w:t>
      </w:r>
      <w:r>
        <w:rPr>
          <w:szCs w:val="24"/>
        </w:rPr>
        <w:tab/>
        <w:t>This resolution shall take effect immediately.</w:t>
      </w:r>
    </w:p>
    <w:p w:rsidR="00FA4DBF" w:rsidRDefault="00FA4DBF" w14:paraId="0E720628" w14:textId="77777777">
      <w:pPr>
        <w:rPr>
          <w:szCs w:val="24"/>
        </w:rPr>
      </w:pPr>
    </w:p>
    <w:p w:rsidR="00FA4DBF" w:rsidRDefault="00513EFB" w14:paraId="4762EC25" w14:textId="26814D0E">
      <w:pPr>
        <w:pStyle w:val="HDWBodyTxt-0"/>
        <w:keepNext/>
        <w:spacing w:after="120"/>
      </w:pPr>
      <w:r>
        <w:t>ADOPTED:</w:t>
      </w:r>
      <w:r>
        <w:tab/>
        <w:t xml:space="preserve"> </w:t>
      </w:r>
      <w:r w:rsidR="00676759">
        <w:t>March 24</w:t>
      </w:r>
      <w:r w:rsidR="005F0961">
        <w:t>, 2026</w:t>
      </w:r>
    </w:p>
    <w:p w:rsidR="00FA4DBF" w:rsidRDefault="00513EFB" w14:paraId="390A2973" w14:textId="77777777">
      <w:pPr>
        <w:pStyle w:val="HDWSignature"/>
        <w:tabs>
          <w:tab w:val="left" w:pos="4680"/>
          <w:tab w:val="left" w:pos="5670"/>
          <w:tab w:val="left" w:pos="8190"/>
          <w:tab w:val="left" w:pos="8280"/>
        </w:tabs>
        <w:spacing w:after="0"/>
      </w:pPr>
      <w:r>
        <w:tab/>
      </w:r>
    </w:p>
    <w:p w:rsidR="00FA4DBF" w:rsidRDefault="00513EFB" w14:paraId="55E4EABB" w14:textId="77777777">
      <w:r>
        <w:br w:type="page"/>
      </w:r>
    </w:p>
    <w:tbl>
      <w:tblPr>
        <w:tblW w:w="0" w:type="auto"/>
        <w:tblLayout w:type="fixed"/>
        <w:tblLook w:val="0000" w:firstRow="0" w:lastRow="0" w:firstColumn="0" w:lastColumn="0" w:noHBand="0" w:noVBand="0"/>
      </w:tblPr>
      <w:tblGrid>
        <w:gridCol w:w="2880"/>
        <w:gridCol w:w="5976"/>
      </w:tblGrid>
      <w:tr w:rsidR="00FA4DBF" w14:paraId="247925B4" w14:textId="77777777">
        <w:tc>
          <w:tcPr>
            <w:tcW w:w="2880" w:type="dxa"/>
          </w:tcPr>
          <w:p w:rsidR="00FA4DBF" w:rsidRDefault="00513EFB" w14:paraId="4A0DEC7D" w14:textId="77777777">
            <w:r>
              <w:lastRenderedPageBreak/>
              <w:t>STATE OF NEW YORK</w:t>
            </w:r>
          </w:p>
        </w:tc>
        <w:tc>
          <w:tcPr>
            <w:tcW w:w="5976" w:type="dxa"/>
          </w:tcPr>
          <w:p w:rsidR="00FA4DBF" w:rsidRDefault="00513EFB" w14:paraId="1336481C" w14:textId="77777777">
            <w:r>
              <w:t>)</w:t>
            </w:r>
          </w:p>
        </w:tc>
      </w:tr>
      <w:tr w:rsidR="00FA4DBF" w14:paraId="49B6C0EE" w14:textId="77777777">
        <w:tc>
          <w:tcPr>
            <w:tcW w:w="2880" w:type="dxa"/>
          </w:tcPr>
          <w:p w:rsidR="00FA4DBF" w:rsidRDefault="00FA4DBF" w14:paraId="56A82176" w14:textId="77777777"/>
        </w:tc>
        <w:tc>
          <w:tcPr>
            <w:tcW w:w="5976" w:type="dxa"/>
          </w:tcPr>
          <w:p w:rsidR="00FA4DBF" w:rsidRDefault="00513EFB" w14:paraId="0B18991E" w14:textId="77777777">
            <w:r>
              <w:t>:  SS.:</w:t>
            </w:r>
          </w:p>
        </w:tc>
      </w:tr>
      <w:tr w:rsidR="00FA4DBF" w14:paraId="4AFF2F0A" w14:textId="77777777">
        <w:tc>
          <w:tcPr>
            <w:tcW w:w="2880" w:type="dxa"/>
          </w:tcPr>
          <w:p w:rsidR="00FA4DBF" w:rsidRDefault="00513EFB" w14:paraId="03144AAC" w14:textId="77777777">
            <w:r>
              <w:t>COUNTY OF NASSAU</w:t>
            </w:r>
          </w:p>
        </w:tc>
        <w:tc>
          <w:tcPr>
            <w:tcW w:w="5976" w:type="dxa"/>
          </w:tcPr>
          <w:p w:rsidR="00FA4DBF" w:rsidRDefault="00513EFB" w14:paraId="3C8164A7" w14:textId="77777777">
            <w:r>
              <w:t>)</w:t>
            </w:r>
          </w:p>
        </w:tc>
      </w:tr>
    </w:tbl>
    <w:p w:rsidR="00FA4DBF" w:rsidRDefault="00FA4DBF" w14:paraId="3ABC7158" w14:textId="77777777"/>
    <w:p w:rsidR="00FA4DBF" w:rsidRDefault="00513EFB" w14:paraId="6A550738" w14:textId="77777777">
      <w:pPr>
        <w:pStyle w:val="BodyText"/>
      </w:pPr>
      <w:r>
        <w:t xml:space="preserve">We, the undersigned Chief Executive Officer and Vice Chairman of the </w:t>
      </w:r>
      <w:r>
        <w:rPr>
          <w:color w:val="000000"/>
        </w:rPr>
        <w:t>Town of Hempstead Industrial Development Agency (the “</w:t>
      </w:r>
      <w:r>
        <w:rPr>
          <w:b/>
          <w:color w:val="000000"/>
        </w:rPr>
        <w:t>Agency</w:t>
      </w:r>
      <w:r>
        <w:rPr>
          <w:color w:val="000000"/>
        </w:rPr>
        <w:t xml:space="preserve">”) </w:t>
      </w:r>
      <w:r>
        <w:t>, DO HEREBY CERTIFY:</w:t>
      </w:r>
    </w:p>
    <w:p w:rsidR="00FA4DBF" w:rsidRDefault="00513EFB" w14:paraId="5B02EFC5" w14:textId="4CFE4745">
      <w:pPr>
        <w:pStyle w:val="BodyText"/>
      </w:pPr>
      <w:r>
        <w:t xml:space="preserve">That we have compared the annexed extract of the minutes of the meeting of the Agency, including the resolutions contained therein, held on </w:t>
      </w:r>
      <w:r w:rsidR="00676759">
        <w:t>March 24</w:t>
      </w:r>
      <w:r w:rsidR="005F0961">
        <w:t>, 2026</w:t>
      </w:r>
      <w:r>
        <w:t>, with the original thereof on file in the office of the Agency, and that the same is a true and correct copy of the proceedings of the Agency and of such resolutions set forth therein and of the whole of said original insofar as the same related to the subject matters therein referred to.</w:t>
      </w:r>
    </w:p>
    <w:p w:rsidR="00FA4DBF" w:rsidRDefault="00513EFB" w14:paraId="1AB53F25" w14:textId="77777777">
      <w:pPr>
        <w:pStyle w:val="BodyText"/>
        <w:rPr>
          <w:szCs w:val="24"/>
        </w:rPr>
      </w:pPr>
      <w:r>
        <w:rPr>
          <w:szCs w:val="24"/>
        </w:rPr>
        <w:t>WE FURTHER CERTIFY that (i) all members of the Agency had due notice of said meeting, pursuant to Sections 103a and 104 of the Public Officers Law (Open Meetings Law), (ii) public notice of the time and place of said meeting was duly given in accordance with such Sections 103a and 104, (iii) the meeting in all respects was duly held and was open to the general public, and (iv) there was a quorum present throughout.</w:t>
      </w:r>
    </w:p>
    <w:p w:rsidR="00FA4DBF" w:rsidRDefault="00513EFB" w14:paraId="36443B78" w14:textId="6D60D65E">
      <w:pPr>
        <w:pStyle w:val="BodyText"/>
        <w:spacing w:after="720"/>
      </w:pPr>
      <w:r>
        <w:t xml:space="preserve">IN WITNESS WHEREOF, we have hereunto set our hands as of the ___ day of </w:t>
      </w:r>
      <w:r w:rsidR="00676759">
        <w:t>March</w:t>
      </w:r>
      <w:r w:rsidR="005F0961">
        <w:t>, 2026</w:t>
      </w:r>
      <w:r>
        <w:t>.</w:t>
      </w:r>
    </w:p>
    <w:p w:rsidR="00FA4DBF" w:rsidRDefault="00513EFB" w14:paraId="72AA39F1" w14:textId="77777777">
      <w:pPr>
        <w:tabs>
          <w:tab w:val="right" w:pos="8910"/>
        </w:tabs>
        <w:suppressAutoHyphens/>
        <w:ind w:left="4320"/>
        <w:jc w:val="both"/>
      </w:pPr>
      <w:r>
        <w:t>By:</w:t>
      </w:r>
      <w:r>
        <w:rPr>
          <w:u w:val="single"/>
        </w:rPr>
        <w:tab/>
      </w:r>
    </w:p>
    <w:p w:rsidR="00FA4DBF" w:rsidRDefault="00513EFB" w14:paraId="077DBA1B" w14:textId="77777777">
      <w:r>
        <w:tab/>
      </w:r>
      <w:r>
        <w:tab/>
      </w:r>
      <w:r>
        <w:tab/>
      </w:r>
      <w:r>
        <w:tab/>
      </w:r>
      <w:r>
        <w:tab/>
      </w:r>
      <w:r>
        <w:tab/>
      </w:r>
      <w:r>
        <w:tab/>
        <w:t>Frederick E. Parola</w:t>
      </w:r>
    </w:p>
    <w:p w:rsidR="00FA4DBF" w:rsidRDefault="00513EFB" w14:paraId="7D59527B" w14:textId="77777777">
      <w:pPr>
        <w:ind w:left="5040"/>
      </w:pPr>
      <w:r>
        <w:t>Chief Executive Officer</w:t>
      </w:r>
    </w:p>
    <w:p w:rsidR="00FA4DBF" w:rsidRDefault="00FA4DBF" w14:paraId="66BE2D1F" w14:textId="77777777">
      <w:pPr>
        <w:ind w:left="5040"/>
      </w:pPr>
    </w:p>
    <w:p w:rsidR="00FA4DBF" w:rsidRDefault="00FA4DBF" w14:paraId="28D5E298" w14:textId="77777777">
      <w:pPr>
        <w:ind w:left="5040"/>
      </w:pPr>
    </w:p>
    <w:p w:rsidR="00FA4DBF" w:rsidRDefault="00FA4DBF" w14:paraId="30629D03" w14:textId="77777777">
      <w:pPr>
        <w:ind w:left="4320"/>
      </w:pPr>
    </w:p>
    <w:p w:rsidR="00FA4DBF" w:rsidRDefault="00513EFB" w14:paraId="522E53FB" w14:textId="77777777">
      <w:pPr>
        <w:ind w:firstLine="4320"/>
        <w:jc w:val="both"/>
      </w:pPr>
      <w:r>
        <w:t>By: ___________________________________</w:t>
      </w:r>
    </w:p>
    <w:p w:rsidR="00FA4DBF" w:rsidRDefault="00513EFB" w14:paraId="5658A07F" w14:textId="77777777">
      <w:pPr>
        <w:ind w:left="5040"/>
      </w:pPr>
      <w:r>
        <w:t>Thomas J. Grech</w:t>
      </w:r>
    </w:p>
    <w:p w:rsidR="00FA4DBF" w:rsidRDefault="00513EFB" w14:paraId="2111F996" w14:textId="77777777">
      <w:pPr>
        <w:tabs>
          <w:tab w:val="right" w:pos="9000"/>
        </w:tabs>
        <w:suppressAutoHyphens/>
        <w:ind w:left="5040"/>
        <w:jc w:val="both"/>
        <w:rPr>
          <w:szCs w:val="24"/>
        </w:rPr>
      </w:pPr>
      <w:r>
        <w:t>Vice Chairman</w:t>
      </w:r>
    </w:p>
    <w:p w:rsidR="00FA4DBF" w:rsidRDefault="00FA4DBF" w14:paraId="49A0B3FA" w14:textId="77777777"/>
    <w:p w:rsidR="00FA4DBF" w:rsidRDefault="00FA4DBF" w14:paraId="35255869" w14:textId="77777777">
      <w:pPr>
        <w:suppressAutoHyphens/>
        <w:spacing w:after="240"/>
        <w:ind w:left="5040"/>
        <w:jc w:val="center"/>
        <w:rPr>
          <w:szCs w:val="24"/>
        </w:rPr>
      </w:pPr>
    </w:p>
    <w:p w:rsidR="00FA4DBF" w:rsidRDefault="00FA4DBF" w14:paraId="74BD7EC5" w14:textId="77777777">
      <w:pPr>
        <w:suppressAutoHyphens/>
        <w:jc w:val="both"/>
        <w:rPr>
          <w:szCs w:val="24"/>
        </w:rPr>
        <w:sectPr w:rsidR="00FA4DBF">
          <w:footerReference w:type="first" r:id="rId10"/>
          <w:pgSz w:w="12240" w:h="15840"/>
          <w:pgMar w:top="1440" w:right="1440" w:bottom="1440" w:left="1728" w:header="720" w:footer="720" w:gutter="0"/>
          <w:pgNumType w:start="1"/>
          <w:cols w:space="720"/>
          <w:noEndnote/>
          <w:titlePg/>
        </w:sectPr>
      </w:pPr>
    </w:p>
    <w:p w:rsidR="00FA4DBF" w:rsidRDefault="00513EFB" w14:paraId="24B54879" w14:textId="77777777">
      <w:pPr>
        <w:suppressAutoHyphens/>
        <w:jc w:val="center"/>
        <w:rPr>
          <w:szCs w:val="24"/>
          <w:u w:val="single"/>
        </w:rPr>
      </w:pPr>
      <w:r>
        <w:rPr>
          <w:szCs w:val="24"/>
          <w:u w:val="single"/>
        </w:rPr>
        <w:lastRenderedPageBreak/>
        <w:t>EXHIBIT A</w:t>
      </w:r>
    </w:p>
    <w:p w:rsidR="00FA4DBF" w:rsidRDefault="00513EFB" w14:paraId="59AA1C01" w14:textId="77777777">
      <w:pPr>
        <w:suppressAutoHyphens/>
        <w:jc w:val="center"/>
        <w:rPr>
          <w:b/>
          <w:bCs/>
          <w:szCs w:val="24"/>
        </w:rPr>
      </w:pPr>
      <w:r>
        <w:rPr>
          <w:b/>
          <w:bCs/>
          <w:szCs w:val="24"/>
        </w:rPr>
        <w:t>______________________________</w:t>
      </w:r>
    </w:p>
    <w:p w:rsidR="00FA4DBF" w:rsidRDefault="00FA4DBF" w14:paraId="6E01283B" w14:textId="77777777">
      <w:pPr>
        <w:suppressAutoHyphens/>
        <w:jc w:val="center"/>
        <w:rPr>
          <w:b/>
          <w:bCs/>
          <w:szCs w:val="24"/>
        </w:rPr>
      </w:pPr>
    </w:p>
    <w:p w:rsidR="00FA4DBF" w:rsidRDefault="00513EFB" w14:paraId="3D713F6B" w14:textId="77777777">
      <w:pPr>
        <w:suppressAutoHyphens/>
        <w:jc w:val="center"/>
        <w:rPr>
          <w:b/>
          <w:bCs/>
          <w:szCs w:val="24"/>
        </w:rPr>
      </w:pPr>
      <w:r>
        <w:rPr>
          <w:b/>
          <w:bCs/>
          <w:szCs w:val="24"/>
        </w:rPr>
        <w:t>NOTICE OF PUBLIC HEARING</w:t>
      </w:r>
    </w:p>
    <w:p w:rsidR="00FA4DBF" w:rsidRDefault="00FA4DBF" w14:paraId="3C9AB993" w14:textId="77777777">
      <w:pPr>
        <w:suppressAutoHyphens/>
        <w:jc w:val="center"/>
        <w:rPr>
          <w:b/>
          <w:bCs/>
          <w:szCs w:val="24"/>
        </w:rPr>
      </w:pPr>
    </w:p>
    <w:p w:rsidR="00FA4DBF" w:rsidRDefault="00FA4DBF" w14:paraId="16CDFDBE" w14:textId="77777777">
      <w:pPr>
        <w:suppressAutoHyphens/>
        <w:jc w:val="center"/>
        <w:rPr>
          <w:szCs w:val="24"/>
        </w:rPr>
      </w:pPr>
    </w:p>
    <w:p w:rsidR="00FA4DBF" w:rsidRDefault="00513EFB" w14:paraId="778C247B" w14:textId="2FF18E6F">
      <w:pPr>
        <w:spacing w:before="291" w:line="275" w:lineRule="exact"/>
        <w:ind w:firstLine="720"/>
        <w:jc w:val="both"/>
        <w:textAlignment w:val="baseline"/>
        <w:rPr>
          <w:b/>
          <w:color w:val="000000"/>
          <w:szCs w:val="24"/>
        </w:rPr>
      </w:pPr>
      <w:r>
        <w:rPr>
          <w:noProof/>
        </w:rPr>
        <mc:AlternateContent>
          <mc:Choice Requires="wps">
            <w:drawing>
              <wp:anchor distT="4294967295" distB="4294967295" distL="114300" distR="114300" simplePos="0" relativeHeight="251657728" behindDoc="0" locked="0" layoutInCell="1" allowOverlap="1" wp14:editId="5CC16D09" wp14:anchorId="7450D9D3">
                <wp:simplePos x="0" y="0"/>
                <wp:positionH relativeFrom="page">
                  <wp:posOffset>2601595</wp:posOffset>
                </wp:positionH>
                <wp:positionV relativeFrom="page">
                  <wp:posOffset>1545589</wp:posOffset>
                </wp:positionV>
                <wp:extent cx="2505710" cy="0"/>
                <wp:effectExtent l="0" t="0" r="8890" b="0"/>
                <wp:wrapNone/>
                <wp:docPr id="5" name="Line 2" descr=""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710"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" from="204.85pt,121.7pt" to="402.15pt,121.7pt" w14:anchorId="3E4FF09B">
                <w10:wrap anchorx="page" anchory="page"/>
              </v:line>
            </w:pict>
          </mc:Fallback>
        </mc:AlternateContent>
      </w:r>
      <w:r>
        <w:rPr>
          <w:b/>
          <w:color w:val="000000"/>
          <w:szCs w:val="24"/>
        </w:rPr>
        <w:t xml:space="preserve">NOTICE IS HEREBY GIVEN </w:t>
      </w:r>
      <w:r>
        <w:rPr>
          <w:color w:val="000000"/>
          <w:szCs w:val="24"/>
        </w:rPr>
        <w:t>that a public hearing pursuant to Title 1 of Article 18-A of the New York State General Municipal Law (the “</w:t>
      </w:r>
      <w:r>
        <w:rPr>
          <w:b/>
          <w:color w:val="000000"/>
          <w:szCs w:val="24"/>
        </w:rPr>
        <w:t>Hearing</w:t>
      </w:r>
      <w:r>
        <w:rPr>
          <w:color w:val="000000"/>
          <w:szCs w:val="24"/>
        </w:rPr>
        <w:t>”) will be held by the Town of Hempstead Industrial Development Agency (the “</w:t>
      </w:r>
      <w:r>
        <w:rPr>
          <w:b/>
          <w:color w:val="000000"/>
          <w:szCs w:val="24"/>
        </w:rPr>
        <w:t>Agency</w:t>
      </w:r>
      <w:r>
        <w:rPr>
          <w:color w:val="000000"/>
          <w:szCs w:val="24"/>
        </w:rPr>
        <w:t>”) on the ___ day of _______, 202</w:t>
      </w:r>
      <w:r w:rsidR="005F0961">
        <w:rPr>
          <w:color w:val="000000"/>
          <w:szCs w:val="24"/>
        </w:rPr>
        <w:t>6</w:t>
      </w:r>
      <w:r>
        <w:rPr>
          <w:color w:val="000000"/>
          <w:szCs w:val="24"/>
        </w:rPr>
        <w:t xml:space="preserve">, at ___ a.m., local time, at </w:t>
      </w:r>
      <w:r>
        <w:rPr>
          <w:szCs w:val="24"/>
        </w:rPr>
        <w:t>Town of Hempstead Town Hall, Town Hall</w:t>
      </w:r>
      <w:r>
        <w:rPr>
          <w:color w:val="000000"/>
        </w:rPr>
        <w:t xml:space="preserve"> </w:t>
      </w:r>
      <w:r w:rsidR="005F0961">
        <w:rPr>
          <w:color w:val="000000"/>
        </w:rPr>
        <w:t xml:space="preserve">Old </w:t>
      </w:r>
      <w:r>
        <w:rPr>
          <w:color w:val="000000"/>
        </w:rPr>
        <w:t>Courtroom, 350 Front Street, Hempstead, Town of Hempstead, New York</w:t>
      </w:r>
      <w:r>
        <w:rPr>
          <w:color w:val="000000"/>
          <w:szCs w:val="24"/>
        </w:rPr>
        <w:t>, in connection with the following matters:</w:t>
      </w:r>
    </w:p>
    <w:p w:rsidR="00FA4DBF" w:rsidRDefault="005F0961" w14:paraId="5660874E" w14:textId="6D725882">
      <w:pPr>
        <w:spacing w:before="264" w:line="275" w:lineRule="exact"/>
        <w:ind w:firstLine="720"/>
        <w:jc w:val="both"/>
        <w:textAlignment w:val="baseline"/>
        <w:rPr>
          <w:color w:val="000000"/>
          <w:szCs w:val="24"/>
        </w:rPr>
      </w:pPr>
      <w:r>
        <w:rPr>
          <w:szCs w:val="24"/>
        </w:rPr>
        <w:t>2150 GRAND LLC</w:t>
      </w:r>
      <w:r>
        <w:t>, a limited liability company organized and existing under the laws of the State of New York, on behalf of itself and/or the principals of 2150 Grand LLC and/or an entity formed or to be formed on behalf of any of the foregoing (collectively, the “</w:t>
      </w:r>
      <w:r>
        <w:rPr>
          <w:b/>
          <w:bCs/>
        </w:rPr>
        <w:t>Company</w:t>
      </w:r>
      <w:r>
        <w:t>”), submitted its application for financial assistance (the “</w:t>
      </w:r>
      <w:r>
        <w:rPr>
          <w:b/>
          <w:bCs/>
        </w:rPr>
        <w:t>Application</w:t>
      </w:r>
      <w:r>
        <w:t>”) to the Town of Hempstead Industrial Development Agency (the “</w:t>
      </w:r>
      <w:r>
        <w:rPr>
          <w:b/>
          <w:bCs/>
        </w:rPr>
        <w:t>Agency</w:t>
      </w:r>
      <w:r>
        <w:t>”) to enter into a transaction in which the Agency will assist in the acquisition of an interest in an approximately 0.73 acre parcel of land located at 2150-2162 Grand Avenue, Baldwin, Town of Hempstead, Nassau County, New York (the “</w:t>
      </w:r>
      <w:r>
        <w:rPr>
          <w:b/>
          <w:bCs/>
        </w:rPr>
        <w:t>Land</w:t>
      </w:r>
      <w:r>
        <w:t>”), the demolition of the existing approximately 10,995 square foot building on the Land, the construction of a five-story approximately 57,000 square foot mixed-use facility consisting of approximately 58 market-rate residential rental units (consisting of approximately 49 one-bedroom apartments and 9 two-bedroom apartments), approximately 609 rentable square feet of ground floor commercial retail space, on-site parking on the Land and associated site improvements (collectively, the “</w:t>
      </w:r>
      <w:r>
        <w:rPr>
          <w:b/>
          <w:bCs/>
        </w:rPr>
        <w:t>Improvements</w:t>
      </w:r>
      <w:r>
        <w:t>”), and the acquisition of certain furniture, fixtures, equipment and personal property necessary for the completion thereof (the “</w:t>
      </w:r>
      <w:r>
        <w:rPr>
          <w:b/>
          <w:bCs/>
        </w:rPr>
        <w:t>Equipment</w:t>
      </w:r>
      <w:r>
        <w:t>”; and together with the Land and the Improvements, the “</w:t>
      </w:r>
      <w:r>
        <w:rPr>
          <w:b/>
        </w:rPr>
        <w:t>Facility</w:t>
      </w:r>
      <w:r>
        <w:t>”), which Facility would be subleased by the Agency to the Company and further sub-subleased by the Company to future tenants for use as a mixed-use multifamily housing and commercial retail facility</w:t>
      </w:r>
      <w:r>
        <w:rPr>
          <w:szCs w:val="24"/>
        </w:rPr>
        <w:t xml:space="preserve"> (the “</w:t>
      </w:r>
      <w:r>
        <w:rPr>
          <w:b/>
          <w:szCs w:val="24"/>
        </w:rPr>
        <w:t>Project</w:t>
      </w:r>
      <w:r>
        <w:rPr>
          <w:szCs w:val="24"/>
        </w:rPr>
        <w:t>”)</w:t>
      </w:r>
      <w:r w:rsidR="00513EFB">
        <w:rPr>
          <w:color w:val="000000"/>
          <w:szCs w:val="24"/>
        </w:rPr>
        <w:t>.  The Facility would be initially owned, operated and/or managed by the Company.</w:t>
      </w:r>
    </w:p>
    <w:p w:rsidR="00FA4DBF" w:rsidRDefault="00513EFB" w14:paraId="5033A8A8" w14:textId="77777777">
      <w:pPr>
        <w:spacing w:before="243" w:line="275" w:lineRule="exact"/>
        <w:ind w:firstLine="720"/>
        <w:jc w:val="both"/>
        <w:textAlignment w:val="baseline"/>
        <w:rPr>
          <w:color w:val="000000"/>
          <w:szCs w:val="24"/>
        </w:rPr>
      </w:pPr>
      <w:r>
        <w:rPr>
          <w:color w:val="000000"/>
          <w:szCs w:val="24"/>
        </w:rPr>
        <w:t>The Agency contemplates that it would provide financial assistance to the Company in the form of exemptions from mortgage recording taxes in connection with the financing or any subsequent refinancing of the Facility, exemptions from sales and use taxes and abatement of real property taxes.</w:t>
      </w:r>
    </w:p>
    <w:p w:rsidR="00FA4DBF" w:rsidRDefault="00513EFB" w14:paraId="68DA0F65" w14:textId="1A27C4E0">
      <w:pPr>
        <w:spacing w:before="243" w:line="275" w:lineRule="exact"/>
        <w:ind w:firstLine="720"/>
        <w:jc w:val="both"/>
        <w:textAlignment w:val="baseline"/>
        <w:rPr>
          <w:color w:val="000000"/>
          <w:szCs w:val="24"/>
        </w:rPr>
      </w:pPr>
      <w:r>
        <w:rPr>
          <w:szCs w:val="24"/>
        </w:rPr>
        <w:t>The Company has requested that the Agency provide financial assistance to the Company in the form of abatements of real property taxes for a term of up to twenty years (the “</w:t>
      </w:r>
      <w:r>
        <w:rPr>
          <w:b/>
          <w:szCs w:val="24"/>
        </w:rPr>
        <w:t>PILOT Benefit</w:t>
      </w:r>
      <w:r>
        <w:rPr>
          <w:szCs w:val="24"/>
        </w:rPr>
        <w:t xml:space="preserve">”).  The proposed PILOT Benefit </w:t>
      </w:r>
      <w:r w:rsidR="005F0961">
        <w:rPr>
          <w:szCs w:val="24"/>
        </w:rPr>
        <w:t xml:space="preserve">does not </w:t>
      </w:r>
      <w:r>
        <w:rPr>
          <w:szCs w:val="24"/>
        </w:rPr>
        <w:t>deviate from the Agency’s Uniform Tax Exemption Policy and Guidelines, as amended to date (the “</w:t>
      </w:r>
      <w:r>
        <w:rPr>
          <w:b/>
          <w:szCs w:val="24"/>
        </w:rPr>
        <w:t>Policy</w:t>
      </w:r>
      <w:r>
        <w:rPr>
          <w:szCs w:val="24"/>
        </w:rPr>
        <w:t>”), because the proposed PILOT Benefit would be for a term of up to twenty</w:t>
      </w:r>
      <w:r w:rsidR="005F0961">
        <w:rPr>
          <w:szCs w:val="24"/>
        </w:rPr>
        <w:t xml:space="preserve"> (2</w:t>
      </w:r>
      <w:r>
        <w:rPr>
          <w:szCs w:val="24"/>
        </w:rPr>
        <w:t xml:space="preserve">0) years.  Copies of the proposed PILOT payment schedule are available on the Agency’s website at </w:t>
      </w:r>
      <w:r>
        <w:rPr>
          <w:szCs w:val="24"/>
          <w:u w:val="single"/>
        </w:rPr>
        <w:t>www.tohida.org</w:t>
      </w:r>
      <w:r>
        <w:rPr>
          <w:szCs w:val="24"/>
        </w:rPr>
        <w:t xml:space="preserve">.  </w:t>
      </w:r>
    </w:p>
    <w:p w:rsidR="00FA4DBF" w:rsidRDefault="00513EFB" w14:paraId="108D71C8" w14:textId="77777777">
      <w:pPr>
        <w:spacing w:before="264" w:line="275" w:lineRule="exact"/>
        <w:ind w:firstLine="720"/>
        <w:jc w:val="both"/>
        <w:textAlignment w:val="baseline"/>
        <w:rPr>
          <w:color w:val="000000"/>
          <w:szCs w:val="24"/>
        </w:rPr>
      </w:pPr>
      <w:r>
        <w:rPr>
          <w:color w:val="000000"/>
          <w:szCs w:val="24"/>
        </w:rPr>
        <w:t xml:space="preserve">A representative of the Agency will, at the above-stated time and place, hear and accept oral comments from all persons with views in favor of or opposed to either the Project or the financial assistance requested by the Company.  Comments may also be submitted to the Agency in writing or electronically prior to or during the Hearing by e-mailing them to </w:t>
      </w:r>
      <w:r>
        <w:rPr>
          <w:color w:val="000000"/>
          <w:szCs w:val="24"/>
          <w:u w:val="single"/>
        </w:rPr>
        <w:t>idamail@hempsteadny.gov</w:t>
      </w:r>
      <w:r>
        <w:rPr>
          <w:color w:val="000000"/>
          <w:szCs w:val="24"/>
        </w:rPr>
        <w:t>.  Minutes of the Hearing will be transcribed and posted on the Agency’s website.</w:t>
      </w:r>
    </w:p>
    <w:p w:rsidR="00FA4DBF" w:rsidRDefault="00513EFB" w14:paraId="1D52C233" w14:textId="77777777">
      <w:pPr>
        <w:spacing w:before="250" w:line="275" w:lineRule="exact"/>
        <w:ind w:firstLine="720"/>
        <w:jc w:val="both"/>
        <w:textAlignment w:val="baseline"/>
        <w:rPr>
          <w:color w:val="000000"/>
          <w:szCs w:val="24"/>
        </w:rPr>
      </w:pPr>
      <w:r>
        <w:rPr>
          <w:color w:val="000000"/>
          <w:szCs w:val="24"/>
        </w:rPr>
        <w:lastRenderedPageBreak/>
        <w:t xml:space="preserve">Members of the public </w:t>
      </w:r>
      <w:proofErr w:type="gramStart"/>
      <w:r>
        <w:rPr>
          <w:color w:val="000000"/>
          <w:szCs w:val="24"/>
        </w:rPr>
        <w:t>have the opportunity to</w:t>
      </w:r>
      <w:proofErr w:type="gramEnd"/>
      <w:r>
        <w:rPr>
          <w:color w:val="000000"/>
          <w:szCs w:val="24"/>
        </w:rPr>
        <w:t xml:space="preserve"> review the application for financial assistance filed by the Company with the Agency and an analysis of the costs and benefits of the proposed Project, which can be found on the Agency’s website at </w:t>
      </w:r>
      <w:r>
        <w:rPr>
          <w:color w:val="000000"/>
          <w:szCs w:val="24"/>
          <w:u w:val="single"/>
        </w:rPr>
        <w:t>www.tohida.org</w:t>
      </w:r>
      <w:r>
        <w:rPr>
          <w:color w:val="000000"/>
          <w:szCs w:val="24"/>
        </w:rPr>
        <w:t>.</w:t>
      </w:r>
    </w:p>
    <w:p w:rsidR="00FA4DBF" w:rsidRDefault="00513EFB" w14:paraId="0AF0EF61" w14:textId="77777777">
      <w:pPr>
        <w:spacing w:before="250" w:line="275" w:lineRule="exact"/>
        <w:ind w:firstLine="720"/>
        <w:jc w:val="both"/>
        <w:textAlignment w:val="baseline"/>
        <w:rPr>
          <w:color w:val="000000"/>
          <w:szCs w:val="24"/>
        </w:rPr>
      </w:pPr>
      <w:r>
        <w:rPr>
          <w:szCs w:val="24"/>
        </w:rPr>
        <w:t>To the extent practicable, the Hearing will be streamed on the Agency’s website in real-time in accordance with Section 857 of the New York State General Municipal Law. A video recording of the Hearing will be posted on the Agency’s website, all in accordance with Section 857 of the New York State General Municipal Law.</w:t>
      </w:r>
    </w:p>
    <w:p w:rsidR="00FA4DBF" w:rsidRDefault="00513EFB" w14:paraId="581C0F57" w14:textId="023980D0">
      <w:pPr>
        <w:spacing w:before="250" w:line="275" w:lineRule="exact"/>
        <w:ind w:firstLine="720"/>
        <w:jc w:val="both"/>
        <w:textAlignment w:val="baseline"/>
        <w:rPr>
          <w:szCs w:val="24"/>
        </w:rPr>
      </w:pPr>
      <w:r>
        <w:rPr>
          <w:szCs w:val="24"/>
        </w:rPr>
        <w:t>The Agency anticipates that the members of the Agency will consider a resolution to approve the Project and the financial assistance requested by the Company, including the proposed twenty (2</w:t>
      </w:r>
      <w:r w:rsidR="00C12D22">
        <w:rPr>
          <w:szCs w:val="24"/>
        </w:rPr>
        <w:t>0</w:t>
      </w:r>
      <w:r>
        <w:rPr>
          <w:szCs w:val="24"/>
        </w:rPr>
        <w:t>) year PILOT Benefit, at the Agency’s Board Meeting (the “</w:t>
      </w:r>
      <w:r>
        <w:rPr>
          <w:b/>
          <w:szCs w:val="24"/>
        </w:rPr>
        <w:t>Board Meeting</w:t>
      </w:r>
      <w:r>
        <w:rPr>
          <w:szCs w:val="24"/>
        </w:rPr>
        <w:t>”) to be held on [______ __], 202</w:t>
      </w:r>
      <w:r w:rsidR="00C12D22">
        <w:rPr>
          <w:szCs w:val="24"/>
        </w:rPr>
        <w:t>6</w:t>
      </w:r>
      <w:r>
        <w:rPr>
          <w:szCs w:val="24"/>
        </w:rPr>
        <w:t>, at 9:00 a.m. local time, at Town of Hempstead Town Hall, Town Hall</w:t>
      </w:r>
      <w:r>
        <w:rPr>
          <w:color w:val="000000"/>
        </w:rPr>
        <w:t xml:space="preserve"> Courtroom, 350 Front Street, Hempstead, New York</w:t>
      </w:r>
      <w:r>
        <w:t xml:space="preserve"> 11550</w:t>
      </w:r>
      <w:r>
        <w:rPr>
          <w:szCs w:val="24"/>
        </w:rPr>
        <w:t>.</w:t>
      </w:r>
    </w:p>
    <w:p w:rsidR="00FA4DBF" w:rsidRDefault="00FA4DBF" w14:paraId="478551CC" w14:textId="77777777">
      <w:pPr>
        <w:spacing w:before="250" w:line="275" w:lineRule="exact"/>
        <w:ind w:firstLine="720"/>
        <w:jc w:val="both"/>
        <w:textAlignment w:val="baseline"/>
        <w:rPr>
          <w:color w:val="000000"/>
          <w:szCs w:val="24"/>
        </w:rPr>
      </w:pPr>
    </w:p>
    <w:p w:rsidR="00FA4DBF" w:rsidRDefault="00513EFB" w14:paraId="609FED1A" w14:textId="2F4250DE">
      <w:pPr>
        <w:spacing w:before="233" w:line="275" w:lineRule="exact"/>
        <w:textAlignment w:val="baseline"/>
        <w:rPr>
          <w:color w:val="000000"/>
          <w:spacing w:val="1"/>
        </w:rPr>
      </w:pPr>
      <w:r>
        <w:rPr>
          <w:color w:val="000000"/>
          <w:spacing w:val="1"/>
        </w:rPr>
        <w:t>Dated: ______ __, 202</w:t>
      </w:r>
      <w:r w:rsidR="00C12D22">
        <w:rPr>
          <w:color w:val="000000"/>
          <w:spacing w:val="1"/>
        </w:rPr>
        <w:t>6</w:t>
      </w:r>
    </w:p>
    <w:p w:rsidR="00FA4DBF" w:rsidRDefault="00513EFB" w14:paraId="7257F128" w14:textId="77777777">
      <w:pPr>
        <w:spacing w:before="14" w:line="275" w:lineRule="exact"/>
        <w:ind w:left="4248"/>
        <w:textAlignment w:val="baseline"/>
        <w:rPr>
          <w:color w:val="000000"/>
        </w:rPr>
      </w:pPr>
      <w:r>
        <w:rPr>
          <w:color w:val="000000"/>
        </w:rPr>
        <w:t>TOWN OF HEMPSTEAD INDUSTRIAL</w:t>
      </w:r>
    </w:p>
    <w:p w:rsidR="00FA4DBF" w:rsidRDefault="00513EFB" w14:paraId="32CB8F42" w14:textId="77777777">
      <w:pPr>
        <w:spacing w:line="273" w:lineRule="exact"/>
        <w:ind w:left="4248"/>
        <w:textAlignment w:val="baseline"/>
        <w:rPr>
          <w:color w:val="000000"/>
        </w:rPr>
      </w:pPr>
      <w:r>
        <w:rPr>
          <w:color w:val="000000"/>
        </w:rPr>
        <w:t>DEVELOPMENT AGENCY</w:t>
      </w:r>
    </w:p>
    <w:p w:rsidR="00FA4DBF" w:rsidRDefault="00513EFB" w14:paraId="4643970A" w14:textId="77777777">
      <w:pPr>
        <w:tabs>
          <w:tab w:val="left" w:pos="4968"/>
        </w:tabs>
        <w:spacing w:before="275" w:line="275" w:lineRule="exact"/>
        <w:ind w:left="4248"/>
        <w:textAlignment w:val="baseline"/>
        <w:rPr>
          <w:color w:val="000000"/>
          <w:spacing w:val="-3"/>
        </w:rPr>
      </w:pPr>
      <w:r>
        <w:rPr>
          <w:color w:val="000000"/>
          <w:spacing w:val="-3"/>
        </w:rPr>
        <w:t>By:</w:t>
      </w:r>
      <w:r>
        <w:rPr>
          <w:color w:val="000000"/>
          <w:spacing w:val="-3"/>
        </w:rPr>
        <w:tab/>
        <w:t>Frederick E. Parola</w:t>
      </w:r>
    </w:p>
    <w:p w:rsidR="00FA4DBF" w:rsidRDefault="00513EFB" w14:paraId="2A064016" w14:textId="77777777">
      <w:pPr>
        <w:spacing w:before="2" w:line="275" w:lineRule="exact"/>
        <w:ind w:left="4248"/>
        <w:textAlignment w:val="baseline"/>
        <w:rPr>
          <w:color w:val="000000"/>
          <w:spacing w:val="1"/>
        </w:rPr>
      </w:pPr>
      <w:r>
        <w:rPr>
          <w:color w:val="000000"/>
          <w:spacing w:val="1"/>
        </w:rPr>
        <w:t>Title:   Chief Executive Officer</w:t>
      </w:r>
    </w:p>
    <w:p w:rsidR="00FA4DBF" w:rsidRDefault="00FA4DBF" w14:paraId="4CD56395" w14:textId="77777777">
      <w:pPr>
        <w:spacing w:before="593" w:line="126" w:lineRule="exact"/>
        <w:textAlignment w:val="baseline"/>
        <w:rPr>
          <w:rFonts w:ascii="Lucida Console" w:hAnsi="Lucida Console" w:eastAsia="Lucida Console"/>
          <w:color w:val="000000"/>
          <w:spacing w:val="-8"/>
          <w:sz w:val="12"/>
        </w:rPr>
      </w:pPr>
    </w:p>
    <w:p w:rsidR="00FA4DBF" w:rsidRDefault="00FA4DBF" w14:paraId="315A31EF" w14:textId="77777777">
      <w:pPr>
        <w:rPr>
          <w:u w:val="single"/>
        </w:rPr>
        <w:sectPr w:rsidR="00FA4DBF">
          <w:pgSz w:w="12240" w:h="15840"/>
          <w:pgMar w:top="1152" w:right="1440" w:bottom="720" w:left="1440" w:header="720" w:footer="720" w:gutter="0"/>
          <w:pgNumType w:start="1"/>
          <w:cols w:space="720"/>
        </w:sectPr>
      </w:pPr>
    </w:p>
    <w:p w:rsidR="00FA4DBF" w:rsidRDefault="00513EFB" w14:paraId="6C3A5964" w14:textId="77777777">
      <w:pPr>
        <w:suppressAutoHyphens/>
        <w:spacing w:after="240"/>
        <w:jc w:val="center"/>
        <w:rPr>
          <w:u w:val="single"/>
        </w:rPr>
      </w:pPr>
      <w:r>
        <w:rPr>
          <w:u w:val="single"/>
        </w:rPr>
        <w:lastRenderedPageBreak/>
        <w:t>EXHIBIT B</w:t>
      </w:r>
    </w:p>
    <w:p w:rsidR="00FA4DBF" w:rsidRDefault="00513EFB" w14:paraId="15843AAE" w14:textId="77777777">
      <w:pPr>
        <w:suppressAutoHyphens/>
        <w:jc w:val="center"/>
        <w:rPr>
          <w:caps/>
          <w:szCs w:val="24"/>
        </w:rPr>
      </w:pPr>
      <w:r>
        <w:t xml:space="preserve">MINUTES OF PUBLIC HEARING </w:t>
      </w:r>
    </w:p>
    <w:p w:rsidR="00FA4DBF" w:rsidRDefault="00513EFB" w14:paraId="0CCBE7AD" w14:textId="77777777">
      <w:pPr>
        <w:suppressAutoHyphens/>
        <w:spacing w:after="240"/>
        <w:jc w:val="center"/>
        <w:rPr>
          <w:caps/>
          <w:szCs w:val="24"/>
        </w:rPr>
        <w:sectPr w:rsidR="00FA4DBF">
          <w:footerReference w:type="first" r:id="rId11"/>
          <w:pgSz w:w="12240" w:h="15840" w:code="1"/>
          <w:pgMar w:top="1152" w:right="1440" w:bottom="1008" w:left="1728" w:header="720" w:footer="720" w:gutter="0"/>
          <w:pgNumType w:start="1"/>
          <w:cols w:space="720"/>
          <w:noEndnote/>
          <w:titlePg/>
        </w:sectPr>
      </w:pPr>
      <w:r>
        <w:rPr>
          <w:caps/>
          <w:szCs w:val="24"/>
        </w:rPr>
        <w:t>On file with the agency</w:t>
      </w:r>
    </w:p>
    <w:p w:rsidR="00FA4DBF" w:rsidRDefault="00513EFB" w14:paraId="05838FC0" w14:textId="77777777">
      <w:pPr>
        <w:suppressAutoHyphens/>
        <w:spacing w:before="120" w:after="240"/>
        <w:jc w:val="center"/>
        <w:rPr>
          <w:szCs w:val="24"/>
          <w:u w:val="single"/>
        </w:rPr>
      </w:pPr>
      <w:r>
        <w:rPr>
          <w:szCs w:val="24"/>
          <w:u w:val="single"/>
        </w:rPr>
        <w:lastRenderedPageBreak/>
        <w:t>EXHIBIT C</w:t>
      </w:r>
    </w:p>
    <w:p w:rsidR="00FA4DBF" w:rsidRDefault="00513EFB" w14:paraId="232E5932" w14:textId="77777777">
      <w:pPr>
        <w:suppressAutoHyphens/>
        <w:spacing w:before="120" w:after="240"/>
        <w:jc w:val="center"/>
        <w:rPr>
          <w:szCs w:val="24"/>
        </w:rPr>
      </w:pPr>
      <w:r>
        <w:rPr>
          <w:szCs w:val="24"/>
        </w:rPr>
        <w:t>REQUISITE MATERIALS</w:t>
      </w:r>
    </w:p>
    <w:p w:rsidR="00FA4DBF" w:rsidRDefault="00513EFB" w14:paraId="44209F97" w14:textId="6D7A0423">
      <w:pPr>
        <w:pStyle w:val="BodyText"/>
        <w:numPr>
          <w:ilvl w:val="0"/>
          <w:numId w:val="14"/>
        </w:numPr>
      </w:pPr>
      <w:r>
        <w:t xml:space="preserve">Feasibility Study dated </w:t>
      </w:r>
      <w:r w:rsidR="00C12D22">
        <w:t>April 11, 2025</w:t>
      </w:r>
      <w:r>
        <w:t xml:space="preserve"> prepared by </w:t>
      </w:r>
      <w:r w:rsidR="00C12D22">
        <w:t xml:space="preserve">Nelson Pope Voorhis </w:t>
      </w:r>
      <w:r>
        <w:t>(Exhibit C-1);</w:t>
      </w:r>
    </w:p>
    <w:p w:rsidR="00FA4DBF" w:rsidRDefault="00513EFB" w14:paraId="32974830" w14:textId="28AAA3A1">
      <w:pPr>
        <w:pStyle w:val="BodyText"/>
        <w:numPr>
          <w:ilvl w:val="0"/>
          <w:numId w:val="14"/>
        </w:numPr>
      </w:pPr>
      <w:r>
        <w:t xml:space="preserve">Economic and Fiscal Impact Report dated </w:t>
      </w:r>
      <w:r w:rsidR="00676759">
        <w:t>February 26</w:t>
      </w:r>
      <w:r>
        <w:t>, 202</w:t>
      </w:r>
      <w:r w:rsidR="00C12D22">
        <w:t>6</w:t>
      </w:r>
      <w:r>
        <w:t xml:space="preserve"> prepared by Camoin Associates (Exhibit C-2);</w:t>
      </w:r>
    </w:p>
    <w:p w:rsidR="00FA4DBF" w:rsidRDefault="00513EFB" w14:paraId="70B9153A" w14:textId="77777777">
      <w:pPr>
        <w:pStyle w:val="BodyText"/>
        <w:numPr>
          <w:ilvl w:val="0"/>
          <w:numId w:val="14"/>
        </w:numPr>
      </w:pPr>
      <w:r>
        <w:t>New York Law Journal Article, dated March 22, 2017 on Eligibility of Residential Developments for IDA Benefits by Anthony Guardino, Esq. (Exhibit C-3); and</w:t>
      </w:r>
    </w:p>
    <w:p w:rsidR="00FA4DBF" w:rsidRDefault="00513EFB" w14:paraId="07705054" w14:textId="77777777">
      <w:pPr>
        <w:pStyle w:val="BodyText"/>
        <w:numPr>
          <w:ilvl w:val="0"/>
          <w:numId w:val="14"/>
        </w:numPr>
      </w:pPr>
      <w:r>
        <w:rPr>
          <w:u w:val="single"/>
        </w:rPr>
        <w:t>Ryan et al. v. Town of Hempstead Industrial Development Agency et al.</w:t>
      </w:r>
      <w:r>
        <w:t xml:space="preserve"> (Exhibit C-4).</w:t>
      </w:r>
    </w:p>
    <w:p w:rsidR="00C12D22" w:rsidRDefault="00C12D22" w14:paraId="0EB839A9" w14:textId="29647CDA">
      <w:pPr>
        <w:pStyle w:val="BodyText"/>
        <w:numPr>
          <w:ilvl w:val="0"/>
          <w:numId w:val="14"/>
        </w:numPr>
      </w:pPr>
      <w:r>
        <w:rPr>
          <w:u w:val="single"/>
        </w:rPr>
        <w:t>Matter of Wyandanch UFSD v. Town of Babylon Industrial Development Agency et al.</w:t>
      </w:r>
      <w:r>
        <w:t xml:space="preserve"> (Exhibit C-5).</w:t>
      </w:r>
    </w:p>
    <w:p w:rsidR="00FA4DBF" w:rsidRDefault="00513EFB" w14:paraId="7AC65C89" w14:textId="77777777">
      <w:pPr>
        <w:suppressAutoHyphens/>
        <w:spacing w:before="120" w:after="240"/>
        <w:jc w:val="right"/>
        <w:rPr>
          <w:szCs w:val="24"/>
          <w:u w:val="single"/>
        </w:rPr>
      </w:pPr>
      <w:r>
        <w:rPr>
          <w:b/>
          <w:szCs w:val="24"/>
        </w:rPr>
        <w:br w:type="page"/>
      </w:r>
      <w:r>
        <w:rPr>
          <w:szCs w:val="24"/>
          <w:u w:val="single"/>
        </w:rPr>
        <w:lastRenderedPageBreak/>
        <w:t>EXHIBIT C-1</w:t>
      </w:r>
    </w:p>
    <w:p w:rsidR="00FA4DBF" w:rsidRDefault="00513EFB" w14:paraId="26D8F28D" w14:textId="49F9EA00">
      <w:pPr>
        <w:pStyle w:val="BodyText"/>
        <w:ind w:firstLine="0"/>
        <w:jc w:val="center"/>
      </w:pPr>
      <w:r>
        <w:t xml:space="preserve">Feasibility Study dated </w:t>
      </w:r>
      <w:r w:rsidR="00C12D22">
        <w:t>April 11, 2025</w:t>
      </w:r>
      <w:r>
        <w:t xml:space="preserve"> prepared by</w:t>
      </w:r>
      <w:r w:rsidR="00C12D22">
        <w:t xml:space="preserve"> Nelson Pope Voorhis</w:t>
      </w:r>
    </w:p>
    <w:p w:rsidR="00FA4DBF" w:rsidRDefault="00FA4DBF" w14:paraId="6BDDCB95" w14:textId="77777777">
      <w:pPr>
        <w:pStyle w:val="BodyText"/>
        <w:ind w:firstLine="0"/>
      </w:pPr>
    </w:p>
    <w:p w:rsidR="00FA4DBF" w:rsidRDefault="00513EFB" w14:paraId="36D81475" w14:textId="77777777">
      <w:pPr>
        <w:pStyle w:val="BodyText"/>
        <w:ind w:firstLine="0"/>
        <w:jc w:val="right"/>
        <w:rPr>
          <w:u w:val="single"/>
        </w:rPr>
      </w:pPr>
      <w:r>
        <w:br w:type="page"/>
      </w:r>
      <w:r>
        <w:rPr>
          <w:u w:val="single"/>
        </w:rPr>
        <w:lastRenderedPageBreak/>
        <w:t>EXHIBIT C-2</w:t>
      </w:r>
    </w:p>
    <w:p w:rsidR="00FA4DBF" w:rsidRDefault="00513EFB" w14:paraId="1A9593C3" w14:textId="743DE665">
      <w:pPr>
        <w:pStyle w:val="BodyText"/>
        <w:ind w:firstLine="0"/>
        <w:jc w:val="center"/>
      </w:pPr>
      <w:r>
        <w:t xml:space="preserve">Economic and Fiscal Impact Report dated </w:t>
      </w:r>
      <w:r w:rsidR="00676759">
        <w:t>February 26</w:t>
      </w:r>
      <w:r w:rsidR="00C12D22">
        <w:t>, 2026</w:t>
      </w:r>
      <w:r>
        <w:t xml:space="preserve"> prepared by Camoin Associates</w:t>
      </w:r>
    </w:p>
    <w:p w:rsidR="00FA4DBF" w:rsidRDefault="00FA4DBF" w14:paraId="77526FB6" w14:textId="77777777">
      <w:pPr>
        <w:pStyle w:val="BodyText"/>
        <w:ind w:firstLine="0"/>
      </w:pPr>
    </w:p>
    <w:p w:rsidR="00FA4DBF" w:rsidRDefault="00513EFB" w14:paraId="30948B16" w14:textId="77777777">
      <w:pPr>
        <w:pStyle w:val="BodyText"/>
        <w:ind w:firstLine="0"/>
        <w:jc w:val="right"/>
        <w:rPr>
          <w:u w:val="single"/>
        </w:rPr>
      </w:pPr>
      <w:r>
        <w:br w:type="page"/>
      </w:r>
      <w:r>
        <w:rPr>
          <w:u w:val="single"/>
        </w:rPr>
        <w:lastRenderedPageBreak/>
        <w:t>EXHIBIT C-3</w:t>
      </w:r>
    </w:p>
    <w:p w:rsidR="00FA4DBF" w:rsidRDefault="00513EFB" w14:paraId="4DA8891B" w14:textId="77777777">
      <w:pPr>
        <w:pStyle w:val="BodyText"/>
        <w:ind w:firstLine="0"/>
        <w:jc w:val="center"/>
        <w:rPr>
          <w:u w:val="single"/>
        </w:rPr>
      </w:pPr>
      <w:r>
        <w:t>New York Law Journal Article, dated March 22, 2017 on Eligibility of Residential Developments for IDA Benefits by Anthony Guardino, Esq.</w:t>
      </w:r>
    </w:p>
    <w:p w:rsidR="00FA4DBF" w:rsidRDefault="00513EFB" w14:paraId="55A0C0E6" w14:textId="77777777">
      <w:pPr>
        <w:pStyle w:val="BodyText"/>
        <w:ind w:firstLine="0"/>
        <w:jc w:val="right"/>
        <w:rPr>
          <w:u w:val="single"/>
        </w:rPr>
      </w:pPr>
      <w:r>
        <w:br w:type="page"/>
      </w:r>
      <w:r>
        <w:rPr>
          <w:u w:val="single"/>
        </w:rPr>
        <w:lastRenderedPageBreak/>
        <w:t>EXHIBIT C-4</w:t>
      </w:r>
    </w:p>
    <w:p w:rsidR="00FA4DBF" w:rsidRDefault="00513EFB" w14:paraId="13152D92" w14:textId="77777777">
      <w:pPr>
        <w:pStyle w:val="BodyText"/>
        <w:ind w:firstLine="0"/>
        <w:jc w:val="center"/>
        <w:rPr>
          <w:u w:val="single"/>
        </w:rPr>
      </w:pPr>
      <w:r>
        <w:rPr>
          <w:u w:val="single"/>
        </w:rPr>
        <w:t>Ryan et al. v. Town of Hempstead Industrial Development Agency et al.</w:t>
      </w:r>
    </w:p>
    <w:p w:rsidR="00C12D22" w:rsidRDefault="00C12D22" w14:paraId="2E81F0BD" w14:textId="13DC40FA">
      <w:r>
        <w:br w:type="page"/>
      </w:r>
    </w:p>
    <w:p w:rsidR="00C12D22" w:rsidP="00C12D22" w:rsidRDefault="00C12D22" w14:paraId="16EAB329" w14:textId="692B9C34">
      <w:pPr>
        <w:ind w:left="6480" w:firstLine="720"/>
        <w:rPr>
          <w:u w:val="single"/>
        </w:rPr>
      </w:pPr>
      <w:r>
        <w:rPr>
          <w:u w:val="single"/>
        </w:rPr>
        <w:lastRenderedPageBreak/>
        <w:t>EXHIBIT C-5</w:t>
      </w:r>
    </w:p>
    <w:p w:rsidR="00C12D22" w:rsidP="00C12D22" w:rsidRDefault="00C12D22" w14:paraId="2FF3335C" w14:textId="77777777">
      <w:pPr>
        <w:ind w:left="6480" w:firstLine="720"/>
        <w:rPr>
          <w:u w:val="single"/>
        </w:rPr>
      </w:pPr>
    </w:p>
    <w:p w:rsidR="00C12D22" w:rsidP="00C12D22" w:rsidRDefault="00C12D22" w14:paraId="44E7F446" w14:textId="0889A588">
      <w:pPr>
        <w:pStyle w:val="BodyText"/>
        <w:ind w:firstLine="0"/>
        <w:jc w:val="center"/>
        <w:rPr>
          <w:u w:val="single"/>
        </w:rPr>
      </w:pPr>
      <w:r>
        <w:rPr>
          <w:u w:val="single"/>
        </w:rPr>
        <w:t>Matter of Wyandanch UFSD v. Town of Babylon Industrial Development Agency et al.</w:t>
      </w:r>
    </w:p>
    <w:p w:rsidR="00FA4DBF" w:rsidRDefault="00FA4DBF" w14:paraId="1EAE11B9" w14:textId="77777777">
      <w:pPr>
        <w:pStyle w:val="BodyText"/>
        <w:ind w:firstLine="0"/>
        <w:jc w:val="center"/>
        <w:sectPr w:rsidR="00FA4DBF">
          <w:pgSz w:w="12240" w:h="15840" w:code="1"/>
          <w:pgMar w:top="1152" w:right="1440" w:bottom="1008" w:left="1728" w:header="720" w:footer="720" w:gutter="0"/>
          <w:pgNumType w:start="1"/>
          <w:cols w:space="720"/>
          <w:noEndnote/>
          <w:titlePg/>
        </w:sectPr>
      </w:pPr>
    </w:p>
    <w:p w:rsidR="00FA4DBF" w:rsidRDefault="00513EFB" w14:paraId="49FD4D10" w14:textId="77777777">
      <w:pPr>
        <w:pStyle w:val="BodyText"/>
        <w:ind w:firstLine="0"/>
        <w:jc w:val="center"/>
        <w:rPr>
          <w:u w:val="single"/>
        </w:rPr>
      </w:pPr>
      <w:r>
        <w:rPr>
          <w:u w:val="single"/>
        </w:rPr>
        <w:lastRenderedPageBreak/>
        <w:t>EXHIBIT D</w:t>
      </w:r>
    </w:p>
    <w:p w:rsidR="00FA4DBF" w:rsidRDefault="00513EFB" w14:paraId="158246D1" w14:textId="77777777">
      <w:pPr>
        <w:pStyle w:val="BodyText"/>
        <w:ind w:firstLine="0"/>
        <w:jc w:val="center"/>
      </w:pPr>
      <w:r>
        <w:t>TOWN OF HEMPSTEAD INDUSTRIAL DEVELOPMENT AGENCY UNIFORM TAX EXEMPTION POLICY</w:t>
      </w:r>
    </w:p>
    <w:p w:rsidR="00FA4DBF" w:rsidRDefault="00513EFB" w14:paraId="41E377E6" w14:textId="77777777">
      <w:r>
        <w:br w:type="page"/>
      </w:r>
    </w:p>
    <w:p w:rsidR="00FA4DBF" w:rsidRDefault="00513EFB" w14:paraId="4E7B8054" w14:textId="77777777">
      <w:pPr>
        <w:pStyle w:val="BodyText"/>
        <w:ind w:firstLine="0"/>
        <w:jc w:val="center"/>
      </w:pPr>
      <w:r>
        <w:rPr>
          <w:u w:val="single"/>
        </w:rPr>
        <w:lastRenderedPageBreak/>
        <w:t>EXHIBIT E</w:t>
      </w:r>
    </w:p>
    <w:p w:rsidR="00FA4DBF" w:rsidRDefault="00513EFB" w14:paraId="72F7052F" w14:textId="77777777">
      <w:pPr>
        <w:pStyle w:val="BodyText"/>
        <w:ind w:firstLine="0"/>
        <w:jc w:val="center"/>
      </w:pPr>
      <w:r>
        <w:t>PROPOSED PILOT SCHEDULE</w:t>
      </w:r>
    </w:p>
    <w:p w:rsidR="00FA4DBF" w:rsidRDefault="00FA4DBF" w14:paraId="098EC0C8" w14:textId="77777777">
      <w:pPr>
        <w:pStyle w:val="BodyText"/>
        <w:ind w:firstLine="0"/>
      </w:pPr>
    </w:p>
    <w:p w:rsidR="00FA4DBF" w:rsidRDefault="00C12D22" w14:paraId="448670ED" w14:textId="4947E60F">
      <w:pPr>
        <w:pStyle w:val="BodyText3"/>
        <w:ind w:firstLine="0"/>
        <w:jc w:val="left"/>
        <w:rPr>
          <w:szCs w:val="24"/>
        </w:rPr>
      </w:pPr>
      <w:r>
        <w:rPr>
          <w:bCs/>
          <w:szCs w:val="24"/>
        </w:rPr>
        <w:t>2150-2162</w:t>
      </w:r>
      <w:r w:rsidR="00513EFB">
        <w:rPr>
          <w:bCs/>
          <w:szCs w:val="24"/>
        </w:rPr>
        <w:t xml:space="preserve"> Grand Avenue</w:t>
      </w:r>
      <w:r w:rsidR="00513EFB">
        <w:rPr>
          <w:szCs w:val="24"/>
        </w:rPr>
        <w:br/>
      </w:r>
      <w:r w:rsidR="00513EFB">
        <w:rPr>
          <w:bCs/>
          <w:szCs w:val="24"/>
        </w:rPr>
        <w:t>Baldwin, New York 11510</w:t>
      </w:r>
    </w:p>
    <w:p w:rsidR="00FA4DBF" w:rsidRDefault="00513EFB" w14:paraId="74A71DBE" w14:textId="77777777">
      <w:pPr>
        <w:rPr>
          <w:szCs w:val="24"/>
        </w:rPr>
      </w:pPr>
      <w:r>
        <w:rPr>
          <w:szCs w:val="24"/>
        </w:rPr>
        <w:t>Current Tax Information:</w:t>
      </w:r>
    </w:p>
    <w:p w:rsidRPr="00C12D22" w:rsidR="00C12D22" w:rsidP="00C12D22" w:rsidRDefault="00C12D22" w14:paraId="6B9A1E03" w14:textId="77777777">
      <w:pPr>
        <w:rPr>
          <w:szCs w:val="24"/>
        </w:rPr>
      </w:pPr>
      <w:r w:rsidRPr="00C12D22">
        <w:rPr>
          <w:szCs w:val="24"/>
        </w:rPr>
        <w:t>Section; 54, Block: 32, Lots: 125,127, 526, 626, 726, 826</w:t>
      </w:r>
    </w:p>
    <w:p w:rsidRPr="00C12D22" w:rsidR="00C12D22" w:rsidP="00C12D22" w:rsidRDefault="00C12D22" w14:paraId="127E5B05" w14:textId="77777777">
      <w:pPr>
        <w:rPr>
          <w:szCs w:val="24"/>
        </w:rPr>
      </w:pPr>
      <w:r w:rsidRPr="00C12D22">
        <w:rPr>
          <w:szCs w:val="24"/>
        </w:rPr>
        <w:t>Parcels: 6</w:t>
      </w:r>
    </w:p>
    <w:p w:rsidRPr="00C12D22" w:rsidR="00C12D22" w:rsidP="00C12D22" w:rsidRDefault="00C12D22" w14:paraId="14768119" w14:textId="77777777">
      <w:pPr>
        <w:rPr>
          <w:szCs w:val="24"/>
        </w:rPr>
      </w:pPr>
      <w:r w:rsidRPr="00C12D22">
        <w:rPr>
          <w:szCs w:val="24"/>
        </w:rPr>
        <w:t>SD- Baldwin – 10</w:t>
      </w:r>
    </w:p>
    <w:p w:rsidRPr="00C12D22" w:rsidR="00C12D22" w:rsidP="00C12D22" w:rsidRDefault="00C12D22" w14:paraId="6AA3DE66" w14:textId="77777777">
      <w:pPr>
        <w:rPr>
          <w:szCs w:val="24"/>
        </w:rPr>
      </w:pPr>
    </w:p>
    <w:p w:rsidRPr="00C12D22" w:rsidR="00C12D22" w:rsidP="00C12D22" w:rsidRDefault="00C12D22" w14:paraId="01EB7905" w14:textId="33735580">
      <w:pPr>
        <w:rPr>
          <w:bCs/>
          <w:szCs w:val="24"/>
        </w:rPr>
      </w:pPr>
      <w:r w:rsidRPr="00C12D22">
        <w:rPr>
          <w:szCs w:val="24"/>
        </w:rPr>
        <w:t>Estimated Taxes Once Built: $</w:t>
      </w:r>
      <w:r w:rsidRPr="00C12D22">
        <w:rPr>
          <w:bCs/>
          <w:szCs w:val="24"/>
        </w:rPr>
        <w:t>580,390</w:t>
      </w:r>
    </w:p>
    <w:p w:rsidRPr="00C12D22" w:rsidR="00C12D22" w:rsidP="00C12D22" w:rsidRDefault="00C12D22" w14:paraId="418E782D" w14:textId="77777777">
      <w:pPr>
        <w:pStyle w:val="Default"/>
      </w:pPr>
      <w:r w:rsidRPr="00C12D22">
        <w:t>Demolished taxes as per opinion from counsel: $51,763.00</w:t>
      </w:r>
    </w:p>
    <w:p w:rsidR="00FA4DBF" w:rsidRDefault="00FA4DBF" w14:paraId="41E19CA5" w14:textId="379C4AB9">
      <w:pPr>
        <w:pStyle w:val="Default"/>
      </w:pPr>
    </w:p>
    <w:p w:rsidR="00FA4DBF" w:rsidRDefault="00FA4DBF" w14:paraId="07432BC7" w14:textId="77777777">
      <w:pPr>
        <w:rPr>
          <w:szCs w:val="24"/>
        </w:rPr>
      </w:pPr>
    </w:p>
    <w:p w:rsidR="00C12D22" w:rsidP="00C12D22" w:rsidRDefault="00C12D22" w14:paraId="4F89E164" w14:textId="77777777">
      <w:pPr>
        <w:rPr>
          <w:rFonts w:ascii="Tahoma" w:hAnsi="Tahoma" w:cs="Tahoma"/>
          <w:szCs w:val="24"/>
        </w:rPr>
      </w:pPr>
      <w:r>
        <w:rPr>
          <w:rFonts w:ascii="Tahoma" w:hAnsi="Tahoma" w:cs="Tahoma"/>
          <w:szCs w:val="24"/>
        </w:rPr>
        <w:t>Year</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Total</w:t>
      </w:r>
    </w:p>
    <w:p w:rsidR="00C12D22" w:rsidP="00C12D22" w:rsidRDefault="00C12D22" w14:paraId="7798944A" w14:textId="77777777">
      <w:pPr>
        <w:rPr>
          <w:rFonts w:ascii="Tahoma" w:hAnsi="Tahoma" w:cs="Tahoma"/>
          <w:b/>
          <w:szCs w:val="24"/>
          <w:highlight w:val="yellow"/>
        </w:rPr>
      </w:pPr>
    </w:p>
    <w:p w:rsidR="00C12D22" w:rsidP="00C12D22" w:rsidRDefault="00C12D22" w14:paraId="337DC85B" w14:textId="77777777">
      <w:pPr>
        <w:numPr>
          <w:ilvl w:val="0"/>
          <w:numId w:val="19"/>
        </w:numPr>
        <w:rPr>
          <w:rFonts w:ascii="Tahoma" w:hAnsi="Tahoma" w:cs="Tahoma"/>
          <w:szCs w:val="24"/>
        </w:rPr>
      </w:pPr>
      <w:r>
        <w:rPr>
          <w:rFonts w:ascii="Tahoma" w:hAnsi="Tahoma" w:cs="Tahoma"/>
          <w:szCs w:val="24"/>
        </w:rPr>
        <w:t xml:space="preserve">                               $51,763.00</w:t>
      </w:r>
    </w:p>
    <w:p w:rsidR="00C12D22" w:rsidP="00C12D22" w:rsidRDefault="00C12D22" w14:paraId="7B7C0D11" w14:textId="77777777">
      <w:pPr>
        <w:numPr>
          <w:ilvl w:val="0"/>
          <w:numId w:val="19"/>
        </w:numPr>
        <w:rPr>
          <w:rFonts w:ascii="Tahoma" w:hAnsi="Tahoma" w:cs="Tahoma"/>
          <w:szCs w:val="24"/>
        </w:rPr>
      </w:pPr>
      <w:r>
        <w:rPr>
          <w:rFonts w:ascii="Tahoma" w:hAnsi="Tahoma" w:cs="Tahoma"/>
          <w:szCs w:val="24"/>
        </w:rPr>
        <w:t xml:space="preserve">                               $51,763.00</w:t>
      </w:r>
    </w:p>
    <w:p w:rsidR="00C12D22" w:rsidP="00C12D22" w:rsidRDefault="00C12D22" w14:paraId="610E465A" w14:textId="77777777">
      <w:pPr>
        <w:numPr>
          <w:ilvl w:val="0"/>
          <w:numId w:val="19"/>
        </w:numPr>
        <w:rPr>
          <w:rFonts w:ascii="Tahoma" w:hAnsi="Tahoma" w:cs="Tahoma"/>
          <w:szCs w:val="24"/>
        </w:rPr>
      </w:pPr>
      <w:r>
        <w:rPr>
          <w:rFonts w:ascii="Tahoma" w:hAnsi="Tahoma" w:cs="Tahoma"/>
          <w:szCs w:val="24"/>
        </w:rPr>
        <w:t xml:space="preserve">                               $51,763.00</w:t>
      </w:r>
    </w:p>
    <w:p w:rsidR="00C12D22" w:rsidP="00C12D22" w:rsidRDefault="00C12D22" w14:paraId="7BADCA3A" w14:textId="77777777">
      <w:pPr>
        <w:numPr>
          <w:ilvl w:val="0"/>
          <w:numId w:val="19"/>
        </w:numPr>
        <w:rPr>
          <w:rFonts w:ascii="Tahoma" w:hAnsi="Tahoma" w:cs="Tahoma"/>
          <w:szCs w:val="24"/>
        </w:rPr>
      </w:pPr>
      <w:r>
        <w:rPr>
          <w:rFonts w:ascii="Tahoma" w:hAnsi="Tahoma" w:cs="Tahoma"/>
          <w:szCs w:val="24"/>
        </w:rPr>
        <w:t xml:space="preserve">                               $80,000.00        </w:t>
      </w:r>
    </w:p>
    <w:p w:rsidR="00C12D22" w:rsidP="00C12D22" w:rsidRDefault="00C12D22" w14:paraId="5534039D" w14:textId="77777777">
      <w:pPr>
        <w:numPr>
          <w:ilvl w:val="0"/>
          <w:numId w:val="19"/>
        </w:numPr>
        <w:rPr>
          <w:rFonts w:ascii="Tahoma" w:hAnsi="Tahoma" w:cs="Tahoma"/>
          <w:szCs w:val="24"/>
        </w:rPr>
      </w:pPr>
      <w:r>
        <w:rPr>
          <w:rFonts w:ascii="Tahoma" w:hAnsi="Tahoma" w:cs="Tahoma"/>
          <w:szCs w:val="24"/>
        </w:rPr>
        <w:t xml:space="preserve">                              $105,000.00</w:t>
      </w:r>
    </w:p>
    <w:p w:rsidR="00C12D22" w:rsidP="00C12D22" w:rsidRDefault="00C12D22" w14:paraId="477B7148" w14:textId="77777777">
      <w:pPr>
        <w:numPr>
          <w:ilvl w:val="0"/>
          <w:numId w:val="19"/>
        </w:numPr>
        <w:rPr>
          <w:rFonts w:ascii="Tahoma" w:hAnsi="Tahoma" w:cs="Tahoma"/>
          <w:szCs w:val="24"/>
        </w:rPr>
      </w:pPr>
      <w:r>
        <w:rPr>
          <w:rFonts w:ascii="Tahoma" w:hAnsi="Tahoma" w:cs="Tahoma"/>
          <w:szCs w:val="24"/>
        </w:rPr>
        <w:t xml:space="preserve">                              $135,000.00            </w:t>
      </w:r>
    </w:p>
    <w:p w:rsidR="00C12D22" w:rsidP="00C12D22" w:rsidRDefault="00C12D22" w14:paraId="65B5A96D" w14:textId="77777777">
      <w:pPr>
        <w:numPr>
          <w:ilvl w:val="0"/>
          <w:numId w:val="19"/>
        </w:numPr>
        <w:rPr>
          <w:rFonts w:ascii="Tahoma" w:hAnsi="Tahoma" w:cs="Tahoma"/>
          <w:szCs w:val="24"/>
        </w:rPr>
      </w:pPr>
      <w:r>
        <w:rPr>
          <w:rFonts w:ascii="Tahoma" w:hAnsi="Tahoma" w:cs="Tahoma"/>
          <w:szCs w:val="24"/>
        </w:rPr>
        <w:t xml:space="preserve">                              $165,000.00      </w:t>
      </w:r>
    </w:p>
    <w:p w:rsidR="00C12D22" w:rsidP="00C12D22" w:rsidRDefault="00C12D22" w14:paraId="0531A560" w14:textId="77777777">
      <w:pPr>
        <w:numPr>
          <w:ilvl w:val="0"/>
          <w:numId w:val="19"/>
        </w:numPr>
        <w:rPr>
          <w:rFonts w:ascii="Tahoma" w:hAnsi="Tahoma" w:cs="Tahoma"/>
          <w:szCs w:val="24"/>
        </w:rPr>
      </w:pPr>
      <w:r>
        <w:rPr>
          <w:rFonts w:ascii="Tahoma" w:hAnsi="Tahoma" w:cs="Tahoma"/>
          <w:szCs w:val="24"/>
        </w:rPr>
        <w:t xml:space="preserve">                              $190,000.00</w:t>
      </w:r>
    </w:p>
    <w:p w:rsidR="00C12D22" w:rsidP="00C12D22" w:rsidRDefault="00C12D22" w14:paraId="5CA20121" w14:textId="77777777">
      <w:pPr>
        <w:numPr>
          <w:ilvl w:val="0"/>
          <w:numId w:val="19"/>
        </w:numPr>
        <w:rPr>
          <w:rFonts w:ascii="Tahoma" w:hAnsi="Tahoma" w:cs="Tahoma"/>
          <w:szCs w:val="24"/>
        </w:rPr>
      </w:pPr>
      <w:r>
        <w:rPr>
          <w:rFonts w:ascii="Tahoma" w:hAnsi="Tahoma" w:cs="Tahoma"/>
          <w:szCs w:val="24"/>
        </w:rPr>
        <w:t xml:space="preserve">                              $220,000.00</w:t>
      </w:r>
    </w:p>
    <w:p w:rsidR="00C12D22" w:rsidP="00C12D22" w:rsidRDefault="00C12D22" w14:paraId="4E12441A" w14:textId="77777777">
      <w:pPr>
        <w:numPr>
          <w:ilvl w:val="0"/>
          <w:numId w:val="19"/>
        </w:numPr>
        <w:rPr>
          <w:rFonts w:ascii="Tahoma" w:hAnsi="Tahoma" w:cs="Tahoma"/>
          <w:szCs w:val="24"/>
        </w:rPr>
      </w:pPr>
      <w:r>
        <w:rPr>
          <w:rFonts w:ascii="Tahoma" w:hAnsi="Tahoma" w:cs="Tahoma"/>
          <w:szCs w:val="24"/>
        </w:rPr>
        <w:t xml:space="preserve">                              $270,000.00</w:t>
      </w:r>
    </w:p>
    <w:p w:rsidR="00C12D22" w:rsidP="00C12D22" w:rsidRDefault="00C12D22" w14:paraId="2DCB6F9D" w14:textId="77777777">
      <w:pPr>
        <w:numPr>
          <w:ilvl w:val="0"/>
          <w:numId w:val="19"/>
        </w:numPr>
        <w:rPr>
          <w:rFonts w:ascii="Tahoma" w:hAnsi="Tahoma" w:cs="Tahoma"/>
          <w:szCs w:val="24"/>
        </w:rPr>
      </w:pPr>
      <w:r>
        <w:rPr>
          <w:rFonts w:ascii="Tahoma" w:hAnsi="Tahoma" w:cs="Tahoma"/>
          <w:szCs w:val="24"/>
        </w:rPr>
        <w:t xml:space="preserve">                              $300,000.00</w:t>
      </w:r>
    </w:p>
    <w:p w:rsidR="00C12D22" w:rsidP="00C12D22" w:rsidRDefault="00C12D22" w14:paraId="7085AF87" w14:textId="77777777">
      <w:pPr>
        <w:numPr>
          <w:ilvl w:val="0"/>
          <w:numId w:val="19"/>
        </w:numPr>
        <w:rPr>
          <w:rFonts w:ascii="Tahoma" w:hAnsi="Tahoma" w:cs="Tahoma"/>
          <w:szCs w:val="24"/>
        </w:rPr>
      </w:pPr>
      <w:r>
        <w:rPr>
          <w:rFonts w:ascii="Tahoma" w:hAnsi="Tahoma" w:cs="Tahoma"/>
          <w:szCs w:val="24"/>
        </w:rPr>
        <w:t xml:space="preserve">                              $340,000.00</w:t>
      </w:r>
    </w:p>
    <w:p w:rsidR="00C12D22" w:rsidP="00C12D22" w:rsidRDefault="00C12D22" w14:paraId="53ABB18C" w14:textId="77777777">
      <w:pPr>
        <w:numPr>
          <w:ilvl w:val="0"/>
          <w:numId w:val="19"/>
        </w:numPr>
        <w:rPr>
          <w:rFonts w:ascii="Tahoma" w:hAnsi="Tahoma" w:cs="Tahoma"/>
          <w:szCs w:val="24"/>
        </w:rPr>
      </w:pPr>
      <w:r>
        <w:rPr>
          <w:rFonts w:ascii="Tahoma" w:hAnsi="Tahoma" w:cs="Tahoma"/>
          <w:szCs w:val="24"/>
        </w:rPr>
        <w:t xml:space="preserve">                              $380,000.00            </w:t>
      </w:r>
    </w:p>
    <w:p w:rsidR="00C12D22" w:rsidP="00C12D22" w:rsidRDefault="00C12D22" w14:paraId="7CC72A16" w14:textId="77777777">
      <w:pPr>
        <w:numPr>
          <w:ilvl w:val="0"/>
          <w:numId w:val="19"/>
        </w:numPr>
        <w:rPr>
          <w:rFonts w:ascii="Tahoma" w:hAnsi="Tahoma" w:cs="Tahoma"/>
          <w:szCs w:val="24"/>
        </w:rPr>
      </w:pPr>
      <w:r>
        <w:rPr>
          <w:rFonts w:ascii="Tahoma" w:hAnsi="Tahoma" w:cs="Tahoma"/>
          <w:szCs w:val="24"/>
        </w:rPr>
        <w:t xml:space="preserve">                              $415,000.00       </w:t>
      </w:r>
    </w:p>
    <w:p w:rsidR="00C12D22" w:rsidP="00C12D22" w:rsidRDefault="00C12D22" w14:paraId="7FA69336" w14:textId="77777777">
      <w:pPr>
        <w:numPr>
          <w:ilvl w:val="0"/>
          <w:numId w:val="19"/>
        </w:numPr>
        <w:rPr>
          <w:rFonts w:ascii="Tahoma" w:hAnsi="Tahoma" w:cs="Tahoma"/>
          <w:szCs w:val="24"/>
        </w:rPr>
      </w:pPr>
      <w:r>
        <w:rPr>
          <w:rFonts w:ascii="Tahoma" w:hAnsi="Tahoma" w:cs="Tahoma"/>
          <w:szCs w:val="24"/>
        </w:rPr>
        <w:t xml:space="preserve">                              $460,000.00       </w:t>
      </w:r>
    </w:p>
    <w:p w:rsidR="00C12D22" w:rsidP="00C12D22" w:rsidRDefault="00C12D22" w14:paraId="346A7D52" w14:textId="77777777">
      <w:pPr>
        <w:numPr>
          <w:ilvl w:val="0"/>
          <w:numId w:val="19"/>
        </w:numPr>
        <w:rPr>
          <w:rFonts w:ascii="Tahoma" w:hAnsi="Tahoma" w:cs="Tahoma"/>
          <w:szCs w:val="24"/>
        </w:rPr>
      </w:pPr>
      <w:r>
        <w:rPr>
          <w:rFonts w:ascii="Tahoma" w:hAnsi="Tahoma" w:cs="Tahoma"/>
          <w:szCs w:val="24"/>
        </w:rPr>
        <w:t xml:space="preserve">                              $530,000.00         </w:t>
      </w:r>
    </w:p>
    <w:p w:rsidR="00C12D22" w:rsidP="00C12D22" w:rsidRDefault="00C12D22" w14:paraId="7456929F" w14:textId="77777777">
      <w:pPr>
        <w:numPr>
          <w:ilvl w:val="0"/>
          <w:numId w:val="19"/>
        </w:numPr>
        <w:rPr>
          <w:rFonts w:ascii="Tahoma" w:hAnsi="Tahoma" w:cs="Tahoma"/>
          <w:szCs w:val="24"/>
        </w:rPr>
      </w:pPr>
      <w:r>
        <w:rPr>
          <w:rFonts w:ascii="Tahoma" w:hAnsi="Tahoma" w:cs="Tahoma"/>
          <w:szCs w:val="24"/>
        </w:rPr>
        <w:t xml:space="preserve">                              $580,000.00       </w:t>
      </w:r>
    </w:p>
    <w:p w:rsidR="00C12D22" w:rsidP="00C12D22" w:rsidRDefault="00C12D22" w14:paraId="3843C3D1" w14:textId="77777777">
      <w:pPr>
        <w:numPr>
          <w:ilvl w:val="0"/>
          <w:numId w:val="19"/>
        </w:numPr>
        <w:rPr>
          <w:rFonts w:ascii="Tahoma" w:hAnsi="Tahoma" w:cs="Tahoma"/>
          <w:szCs w:val="24"/>
        </w:rPr>
      </w:pPr>
      <w:r>
        <w:rPr>
          <w:rFonts w:ascii="Tahoma" w:hAnsi="Tahoma" w:cs="Tahoma"/>
          <w:szCs w:val="24"/>
        </w:rPr>
        <w:t xml:space="preserve">                              $610,000.00</w:t>
      </w:r>
    </w:p>
    <w:p w:rsidR="00C12D22" w:rsidP="00C12D22" w:rsidRDefault="00C12D22" w14:paraId="1ABBEBB1" w14:textId="77777777">
      <w:pPr>
        <w:numPr>
          <w:ilvl w:val="0"/>
          <w:numId w:val="19"/>
        </w:numPr>
        <w:rPr>
          <w:rFonts w:ascii="Tahoma" w:hAnsi="Tahoma" w:cs="Tahoma"/>
          <w:szCs w:val="24"/>
        </w:rPr>
      </w:pPr>
      <w:r>
        <w:rPr>
          <w:rFonts w:ascii="Tahoma" w:hAnsi="Tahoma" w:cs="Tahoma"/>
          <w:szCs w:val="24"/>
        </w:rPr>
        <w:t xml:space="preserve">                              $655,000.00</w:t>
      </w:r>
    </w:p>
    <w:p w:rsidR="00C12D22" w:rsidP="00C12D22" w:rsidRDefault="00C12D22" w14:paraId="364D92B5" w14:textId="77777777">
      <w:pPr>
        <w:numPr>
          <w:ilvl w:val="0"/>
          <w:numId w:val="19"/>
        </w:numPr>
        <w:rPr>
          <w:rFonts w:ascii="Tahoma" w:hAnsi="Tahoma" w:cs="Tahoma"/>
          <w:szCs w:val="24"/>
        </w:rPr>
      </w:pPr>
      <w:r>
        <w:rPr>
          <w:rFonts w:ascii="Tahoma" w:hAnsi="Tahoma" w:cs="Tahoma"/>
          <w:szCs w:val="24"/>
        </w:rPr>
        <w:t xml:space="preserve">                              $700,000.00      </w:t>
      </w:r>
    </w:p>
    <w:p w:rsidR="00FA4DBF" w:rsidRDefault="00513EFB" w14:paraId="45ADE818" w14:textId="77777777">
      <w:pPr>
        <w:rPr>
          <w:strike/>
          <w:szCs w:val="24"/>
          <w:highlight w:val="yellow"/>
        </w:rPr>
      </w:pPr>
      <w:r>
        <w:rPr>
          <w:strike/>
          <w:szCs w:val="24"/>
          <w:highlight w:val="yellow"/>
        </w:rPr>
        <w:br w:type="page"/>
      </w:r>
    </w:p>
    <w:p w:rsidR="00FA4DBF" w:rsidRDefault="00513EFB" w14:paraId="3BADB28B" w14:textId="77777777">
      <w:pPr>
        <w:pStyle w:val="BodyText"/>
        <w:ind w:firstLine="0"/>
        <w:jc w:val="center"/>
        <w:rPr>
          <w:szCs w:val="24"/>
          <w:u w:val="single"/>
        </w:rPr>
      </w:pPr>
      <w:bookmarkStart w:name="_Hlk222148956" w:id="1"/>
      <w:r>
        <w:rPr>
          <w:szCs w:val="24"/>
          <w:u w:val="single"/>
        </w:rPr>
        <w:lastRenderedPageBreak/>
        <w:t>EXHIBIT F</w:t>
      </w:r>
    </w:p>
    <w:p w:rsidR="00FA4DBF" w:rsidRDefault="00513EFB" w14:paraId="11A73F76" w14:textId="77777777">
      <w:pPr>
        <w:jc w:val="center"/>
        <w:rPr>
          <w:szCs w:val="24"/>
        </w:rPr>
      </w:pPr>
      <w:r>
        <w:rPr>
          <w:szCs w:val="24"/>
        </w:rPr>
        <w:t>TOWN OF HEMPSTEAD INDUSTRIAL DEVELOPMENT AGENCY</w:t>
      </w:r>
    </w:p>
    <w:bookmarkEnd w:id="1"/>
    <w:p w:rsidR="00FA4DBF" w:rsidRDefault="00DF03F8" w14:paraId="583A57D9" w14:textId="22118346">
      <w:pPr>
        <w:jc w:val="center"/>
        <w:rPr>
          <w:szCs w:val="24"/>
        </w:rPr>
      </w:pPr>
      <w:r>
        <w:rPr>
          <w:szCs w:val="24"/>
        </w:rPr>
        <w:t xml:space="preserve">REASONS SUPPORTING DETERMINATION </w:t>
      </w:r>
    </w:p>
    <w:p w:rsidR="00FA4DBF" w:rsidRDefault="00FA4DBF" w14:paraId="514912B2" w14:textId="77777777">
      <w:pPr>
        <w:jc w:val="both"/>
        <w:rPr>
          <w:szCs w:val="24"/>
        </w:rPr>
      </w:pPr>
    </w:p>
    <w:p w:rsidR="00FA4DBF" w:rsidP="00C12D22" w:rsidRDefault="00FA4DBF" w14:paraId="56C67843" w14:textId="5BEF4576">
      <w:pPr>
        <w:pStyle w:val="ListParagraph"/>
        <w:jc w:val="both"/>
      </w:pPr>
    </w:p>
    <w:p w:rsidRPr="007B5382" w:rsidR="00437F81" w:rsidP="00437F81" w:rsidRDefault="00437F81" w14:paraId="2D048C92" w14:textId="0D8BA3AD">
      <w:pPr>
        <w:ind w:firstLine="720"/>
        <w:rPr>
          <w:szCs w:val="24"/>
        </w:rPr>
      </w:pPr>
      <w:r w:rsidRPr="007B5382">
        <w:rPr>
          <w:szCs w:val="24"/>
        </w:rPr>
        <w:t>2150 GRAND LLC, a limited liability company organized and existing under the laws of the State of New York, on behalf of itself and/or the principals of 2150 Grand LLC and/or an entity formed or to be formed on behalf of any of the foregoing (collectively, the “</w:t>
      </w:r>
      <w:r w:rsidRPr="007B5382">
        <w:rPr>
          <w:b/>
          <w:bCs/>
          <w:szCs w:val="24"/>
        </w:rPr>
        <w:t>Company</w:t>
      </w:r>
      <w:r w:rsidRPr="007B5382">
        <w:rPr>
          <w:szCs w:val="24"/>
        </w:rPr>
        <w:t>”), submitted its application for financial assistance (the “</w:t>
      </w:r>
      <w:r w:rsidRPr="007B5382">
        <w:rPr>
          <w:b/>
          <w:bCs/>
          <w:szCs w:val="24"/>
        </w:rPr>
        <w:t>Application</w:t>
      </w:r>
      <w:r w:rsidRPr="007B5382">
        <w:rPr>
          <w:szCs w:val="24"/>
        </w:rPr>
        <w:t>”) to the Town of Hempstead Industrial Development Agency (the “</w:t>
      </w:r>
      <w:r w:rsidRPr="007B5382">
        <w:rPr>
          <w:b/>
          <w:bCs/>
          <w:szCs w:val="24"/>
        </w:rPr>
        <w:t>Agency</w:t>
      </w:r>
      <w:r w:rsidRPr="007B5382">
        <w:rPr>
          <w:szCs w:val="24"/>
        </w:rPr>
        <w:t>”) to enter into a transaction in which the Agency will assist in the acquisition of an interest in an approximately 0.73 acre parcel of land located at 2150-2162 Grand Avenue, Baldwin, Town of Hempstead, Nassau County, New York (the “</w:t>
      </w:r>
      <w:r w:rsidRPr="007B5382">
        <w:rPr>
          <w:b/>
          <w:bCs/>
          <w:szCs w:val="24"/>
        </w:rPr>
        <w:t>Land</w:t>
      </w:r>
      <w:r w:rsidRPr="007B5382">
        <w:rPr>
          <w:szCs w:val="24"/>
        </w:rPr>
        <w:t>”), the demolition of the existing approximately 10,995 square foot building on the Land, the construction of a five-story approximately 57,000 square foot mixed-use facility consisting of approximately 58 market-rate residential rental units (consisting of approximately 49 one-bedroom apartments and 9 two-bedroom apartments), approximately 609 rentable square feet of ground floor commercial retail space, on-site parking on the Land and associated site improvements (collectively, the “</w:t>
      </w:r>
      <w:r w:rsidRPr="007B5382">
        <w:rPr>
          <w:b/>
          <w:bCs/>
          <w:szCs w:val="24"/>
        </w:rPr>
        <w:t>Improvements</w:t>
      </w:r>
      <w:r w:rsidRPr="007B5382">
        <w:rPr>
          <w:szCs w:val="24"/>
        </w:rPr>
        <w:t>”), and the acquisition of certain furniture, fixtures, equipment and personal property necessary for the completion thereof (the “</w:t>
      </w:r>
      <w:r w:rsidRPr="007B5382">
        <w:rPr>
          <w:b/>
          <w:bCs/>
          <w:szCs w:val="24"/>
        </w:rPr>
        <w:t>Equipment</w:t>
      </w:r>
      <w:r w:rsidRPr="007B5382">
        <w:rPr>
          <w:szCs w:val="24"/>
        </w:rPr>
        <w:t>”; and together with the Land and the Improvements, the “</w:t>
      </w:r>
      <w:r w:rsidRPr="007B5382">
        <w:rPr>
          <w:b/>
          <w:szCs w:val="24"/>
        </w:rPr>
        <w:t>Facility</w:t>
      </w:r>
      <w:r w:rsidRPr="007B5382">
        <w:rPr>
          <w:szCs w:val="24"/>
        </w:rPr>
        <w:t>”), which Facility would be subleased by the Agency to the Company and further sub-subleased by the Company to future tenants for use as a mixed-use multifamily housing and commercial retail facility (the “</w:t>
      </w:r>
      <w:r w:rsidRPr="007B5382">
        <w:rPr>
          <w:b/>
          <w:szCs w:val="24"/>
        </w:rPr>
        <w:t>Project</w:t>
      </w:r>
      <w:r w:rsidRPr="007B5382">
        <w:rPr>
          <w:szCs w:val="24"/>
        </w:rPr>
        <w:t>”)</w:t>
      </w:r>
      <w:r w:rsidR="007D0035">
        <w:rPr>
          <w:szCs w:val="24"/>
        </w:rPr>
        <w:t>.</w:t>
      </w:r>
    </w:p>
    <w:p w:rsidRPr="007B5382" w:rsidR="00437F81" w:rsidP="00437F81" w:rsidRDefault="00437F81" w14:paraId="229180DA" w14:textId="77777777">
      <w:pPr>
        <w:rPr>
          <w:szCs w:val="24"/>
        </w:rPr>
      </w:pPr>
    </w:p>
    <w:p w:rsidRPr="007B5382" w:rsidR="00437F81" w:rsidP="00437F81" w:rsidRDefault="00437F81" w14:paraId="4308ED6F" w14:textId="77777777">
      <w:pPr>
        <w:ind w:firstLine="720"/>
        <w:rPr>
          <w:szCs w:val="24"/>
        </w:rPr>
      </w:pPr>
      <w:r w:rsidRPr="007B5382">
        <w:rPr>
          <w:szCs w:val="24"/>
        </w:rPr>
        <w:t>Pursuant to Article 8 of the New York Environmental Conservation Law, Chapter 43-B of the Consolidated Laws of New York, as amended (the “</w:t>
      </w:r>
      <w:r w:rsidRPr="007B5382">
        <w:rPr>
          <w:b/>
          <w:szCs w:val="24"/>
        </w:rPr>
        <w:t>SEQR Act</w:t>
      </w:r>
      <w:r w:rsidRPr="007B5382">
        <w:rPr>
          <w:szCs w:val="24"/>
        </w:rPr>
        <w:t>”) and the regulations adopted pursuant thereto by the Department of Environmental Conservation of the State of New York (“</w:t>
      </w:r>
      <w:r w:rsidRPr="007B5382">
        <w:rPr>
          <w:b/>
          <w:szCs w:val="24"/>
        </w:rPr>
        <w:t>NYSDEC</w:t>
      </w:r>
      <w:r w:rsidRPr="007B5382">
        <w:rPr>
          <w:szCs w:val="24"/>
        </w:rPr>
        <w:t>”), being 6 NYCRR Part 617, et. seq., as amended (the “</w:t>
      </w:r>
      <w:r w:rsidRPr="007B5382">
        <w:rPr>
          <w:b/>
          <w:szCs w:val="24"/>
        </w:rPr>
        <w:t>Regulations</w:t>
      </w:r>
      <w:r w:rsidRPr="007B5382">
        <w:rPr>
          <w:szCs w:val="24"/>
        </w:rPr>
        <w:t>” and collectively with the SEQR Act, “</w:t>
      </w:r>
      <w:r w:rsidRPr="007B5382">
        <w:rPr>
          <w:b/>
          <w:szCs w:val="24"/>
        </w:rPr>
        <w:t>SEQRA</w:t>
      </w:r>
      <w:r w:rsidRPr="007B5382">
        <w:rPr>
          <w:szCs w:val="24"/>
        </w:rPr>
        <w:t>”), the Agency must satisfy the requirements contained in SEQRA prior to making a final determination whether to undertake the Project.</w:t>
      </w:r>
    </w:p>
    <w:p w:rsidRPr="007B5382" w:rsidR="00437F81" w:rsidP="00437F81" w:rsidRDefault="00437F81" w14:paraId="488984AE" w14:textId="77777777">
      <w:pPr>
        <w:rPr>
          <w:szCs w:val="24"/>
        </w:rPr>
      </w:pPr>
    </w:p>
    <w:p w:rsidRPr="007B5382" w:rsidR="00437F81" w:rsidP="00437F81" w:rsidRDefault="00437F81" w14:paraId="5EB3DA61" w14:textId="77777777">
      <w:pPr>
        <w:ind w:firstLine="720"/>
        <w:rPr>
          <w:szCs w:val="24"/>
          <w:lang w:val="x-none"/>
        </w:rPr>
      </w:pPr>
      <w:r w:rsidRPr="007B5382">
        <w:rPr>
          <w:szCs w:val="24"/>
          <w:lang w:val="x-none"/>
        </w:rPr>
        <w:t>The Project is subject to the requirements of the Town of Hempstead's Building Zone Ordinance ("</w:t>
      </w:r>
      <w:r w:rsidRPr="007B5382">
        <w:rPr>
          <w:b/>
          <w:bCs/>
          <w:szCs w:val="24"/>
          <w:lang w:val="x-none"/>
        </w:rPr>
        <w:t>BZO</w:t>
      </w:r>
      <w:r w:rsidRPr="007B5382">
        <w:rPr>
          <w:szCs w:val="24"/>
          <w:lang w:val="x-none"/>
        </w:rPr>
        <w:t>") for the Baldwin Mixed-Use Overlay District ("</w:t>
      </w:r>
      <w:r w:rsidRPr="007B5382">
        <w:rPr>
          <w:b/>
          <w:bCs/>
          <w:szCs w:val="24"/>
          <w:lang w:val="x-none"/>
        </w:rPr>
        <w:t>B-MX Overlay District</w:t>
      </w:r>
      <w:r w:rsidRPr="007B5382">
        <w:rPr>
          <w:szCs w:val="24"/>
          <w:lang w:val="x-none"/>
        </w:rPr>
        <w:t>") and the Baldwin Mixed-Use District Design Guidelines ("</w:t>
      </w:r>
      <w:r w:rsidRPr="007B5382">
        <w:rPr>
          <w:b/>
          <w:bCs/>
          <w:szCs w:val="24"/>
          <w:lang w:val="x-none"/>
        </w:rPr>
        <w:t>B-MX Design Guidelines</w:t>
      </w:r>
      <w:r w:rsidRPr="007B5382">
        <w:rPr>
          <w:szCs w:val="24"/>
          <w:lang w:val="x-none"/>
        </w:rPr>
        <w:t>"), which were proposed in 2019 and, thereafter, the Town of Hempstead completed a review under SEQRA that resulted in a positive declaration, the preparation of the Draft Generic Environmental Impact Statement ("</w:t>
      </w:r>
      <w:r w:rsidRPr="007B5382">
        <w:rPr>
          <w:b/>
          <w:bCs/>
          <w:szCs w:val="24"/>
          <w:lang w:val="x-none"/>
        </w:rPr>
        <w:t>DGEIS</w:t>
      </w:r>
      <w:r w:rsidRPr="007B5382">
        <w:rPr>
          <w:szCs w:val="24"/>
          <w:lang w:val="x-none"/>
        </w:rPr>
        <w:t>"), and adoption of a Final Generic Environmental Impact Statement ("</w:t>
      </w:r>
      <w:r w:rsidRPr="007B5382">
        <w:rPr>
          <w:b/>
          <w:bCs/>
          <w:szCs w:val="24"/>
          <w:lang w:val="x-none"/>
        </w:rPr>
        <w:t>FGEIS</w:t>
      </w:r>
      <w:r w:rsidRPr="007B5382">
        <w:rPr>
          <w:szCs w:val="24"/>
          <w:lang w:val="x-none"/>
        </w:rPr>
        <w:t>") and issuance of a SEQRA Findings Statement ("</w:t>
      </w:r>
      <w:r w:rsidRPr="007B5382">
        <w:rPr>
          <w:b/>
          <w:bCs/>
          <w:szCs w:val="24"/>
          <w:lang w:val="x-none"/>
        </w:rPr>
        <w:t>Findings Statement</w:t>
      </w:r>
      <w:r w:rsidRPr="007B5382">
        <w:rPr>
          <w:szCs w:val="24"/>
          <w:lang w:val="x-none"/>
        </w:rPr>
        <w:t>").</w:t>
      </w:r>
    </w:p>
    <w:p w:rsidRPr="007B5382" w:rsidR="00437F81" w:rsidP="00437F81" w:rsidRDefault="00437F81" w14:paraId="34CDACE8" w14:textId="77777777">
      <w:pPr>
        <w:rPr>
          <w:szCs w:val="24"/>
          <w:lang w:val="x-none"/>
        </w:rPr>
      </w:pPr>
    </w:p>
    <w:p w:rsidRPr="007B5382" w:rsidR="00437F81" w:rsidP="00437F81" w:rsidRDefault="00437F81" w14:paraId="516F08D0" w14:textId="770291BB">
      <w:pPr>
        <w:ind w:firstLine="720"/>
        <w:rPr>
          <w:szCs w:val="24"/>
          <w:lang w:val="x-none"/>
        </w:rPr>
      </w:pPr>
      <w:r w:rsidRPr="007B5382">
        <w:rPr>
          <w:szCs w:val="24"/>
          <w:lang w:val="x-none"/>
        </w:rPr>
        <w:t>The SEQRA review completed for</w:t>
      </w:r>
      <w:r w:rsidR="006706B1">
        <w:rPr>
          <w:szCs w:val="24"/>
          <w:lang w:val="x-none"/>
        </w:rPr>
        <w:t xml:space="preserve"> </w:t>
      </w:r>
      <w:r w:rsidRPr="007B5382">
        <w:rPr>
          <w:szCs w:val="24"/>
          <w:lang w:val="x-none"/>
        </w:rPr>
        <w:t>the B -MX Overlay District was a coordinated review completed by the Town of Hempstead's Town Board (the "</w:t>
      </w:r>
      <w:r w:rsidRPr="007B5382">
        <w:rPr>
          <w:b/>
          <w:bCs/>
          <w:szCs w:val="24"/>
          <w:lang w:val="x-none"/>
        </w:rPr>
        <w:t>Town Board</w:t>
      </w:r>
      <w:r w:rsidRPr="007B5382">
        <w:rPr>
          <w:szCs w:val="24"/>
          <w:lang w:val="x-none"/>
        </w:rPr>
        <w:t xml:space="preserve">") as "lead agency" in which the Agency was named as an Involved Agency. The Findings Statement and the final text of the B-MX Overlay District both require that additional SEQRA review be undertaken per 6 NYCRR Part 617.10(d) if a development within the B-MX Overlay Districts seeks a variance or does not substantially conform with the intent of the relevant B-MX Design Guidelines.  The Project necessitated variances and a relaxation from several requirements of the B-MX Overlay District and B-MX Design Guidelines, including: </w:t>
      </w:r>
      <w:r w:rsidRPr="007B5382">
        <w:rPr>
          <w:szCs w:val="24"/>
        </w:rPr>
        <w:t xml:space="preserve">(1) the </w:t>
      </w:r>
      <w:r w:rsidRPr="007B5382">
        <w:rPr>
          <w:szCs w:val="24"/>
        </w:rPr>
        <w:lastRenderedPageBreak/>
        <w:t>maximum residential density (58 units, where 44 units allowed); (2) the minimum front lot line setback (1.8 feet from property line, where 10 feet are required); (3) the minimum front yard from curb (9.2 feet, where 10 feet are required); (4) a fence height variance; (5) a parking variance for the number of stalls (45 spaces where 49 spaces are required under incentive parking approval); (6) 10 dwelling units on the ground level (whereas according to Section 428(A)(14) of the BZO, residential dwellings are prohibited on the ground floor), and; (7) a development bonus with respect to the floor area ratio (“FAR”) requirement as an FAR of 1.78 is proposed (whereas an FAR of 1.5 is permitted which can be increased by 0.5 to 2.0, with the provision of certain community benefits) (collectively, 1-7, the “</w:t>
      </w:r>
      <w:r w:rsidRPr="007B5382">
        <w:rPr>
          <w:b/>
          <w:bCs/>
          <w:szCs w:val="24"/>
        </w:rPr>
        <w:t>Variances</w:t>
      </w:r>
      <w:r w:rsidRPr="007B5382">
        <w:rPr>
          <w:szCs w:val="24"/>
        </w:rPr>
        <w:t>”)</w:t>
      </w:r>
      <w:r w:rsidRPr="007B5382">
        <w:rPr>
          <w:szCs w:val="24"/>
          <w:lang w:val="x-none"/>
        </w:rPr>
        <w:t>.</w:t>
      </w:r>
    </w:p>
    <w:p w:rsidRPr="007B5382" w:rsidR="00437F81" w:rsidP="00437F81" w:rsidRDefault="00437F81" w14:paraId="2BB1E6CF" w14:textId="77777777">
      <w:pPr>
        <w:rPr>
          <w:szCs w:val="24"/>
          <w:lang w:val="x-none"/>
        </w:rPr>
      </w:pPr>
    </w:p>
    <w:p w:rsidRPr="007B5382" w:rsidR="00437F81" w:rsidP="00437F81" w:rsidRDefault="00437F81" w14:paraId="62F06578" w14:textId="77777777">
      <w:pPr>
        <w:ind w:firstLine="720"/>
        <w:rPr>
          <w:szCs w:val="24"/>
          <w:lang w:val="x-none"/>
        </w:rPr>
      </w:pPr>
      <w:r w:rsidRPr="007B5382">
        <w:rPr>
          <w:szCs w:val="24"/>
          <w:lang w:val="x-none"/>
        </w:rPr>
        <w:t xml:space="preserve">With regard to the approvals for the Project, the Town Board declared itself to be "lead agency" pursuant to the requirements of SEQRA and determined, pursuant to the FGEIS and the Findings Statement, that additional SEQRA analysis was required per §617.10(d) due to the Variances requests noted above. After review, and </w:t>
      </w:r>
      <w:r w:rsidRPr="007B5382">
        <w:rPr>
          <w:szCs w:val="24"/>
        </w:rPr>
        <w:t xml:space="preserve">based on the Town Board’s Consultant </w:t>
      </w:r>
      <w:bookmarkStart w:name="_Hlk222152996" w:id="2"/>
      <w:r w:rsidRPr="007B5382">
        <w:rPr>
          <w:szCs w:val="24"/>
        </w:rPr>
        <w:t>VHB’s consistency analysis report (“</w:t>
      </w:r>
      <w:r w:rsidRPr="007B5382">
        <w:rPr>
          <w:b/>
          <w:bCs/>
          <w:szCs w:val="24"/>
        </w:rPr>
        <w:t>Consistency Analysis</w:t>
      </w:r>
      <w:r w:rsidRPr="007B5382">
        <w:rPr>
          <w:szCs w:val="24"/>
        </w:rPr>
        <w:t>”)</w:t>
      </w:r>
      <w:bookmarkEnd w:id="2"/>
      <w:r w:rsidRPr="007B5382">
        <w:rPr>
          <w:szCs w:val="24"/>
        </w:rPr>
        <w:t xml:space="preserve"> for the Project issued January 22, 2026 detailing the consistency of the Project with the FGEIS and its potential to have any adverse significant environmental impacts not otherwise analyzed under the FGEIS, the Town Board issued a Negative Declaration (“</w:t>
      </w:r>
      <w:r w:rsidRPr="007B5382">
        <w:rPr>
          <w:b/>
          <w:bCs/>
          <w:szCs w:val="24"/>
        </w:rPr>
        <w:t>Town Negative Declaration</w:t>
      </w:r>
      <w:r w:rsidRPr="007B5382">
        <w:rPr>
          <w:szCs w:val="24"/>
        </w:rPr>
        <w:t>” and collectively with the Consistency Analysis, the “</w:t>
      </w:r>
      <w:r w:rsidRPr="007B5382">
        <w:rPr>
          <w:b/>
          <w:szCs w:val="24"/>
        </w:rPr>
        <w:t>SEQRA Determination</w:t>
      </w:r>
      <w:r w:rsidRPr="007B5382">
        <w:rPr>
          <w:szCs w:val="24"/>
        </w:rPr>
        <w:t>”) on January 27, 2026</w:t>
      </w:r>
      <w:r w:rsidRPr="007B5382">
        <w:rPr>
          <w:szCs w:val="24"/>
          <w:lang w:val="x-none"/>
        </w:rPr>
        <w:t>.</w:t>
      </w:r>
    </w:p>
    <w:p w:rsidR="00437F81" w:rsidP="00437F81" w:rsidRDefault="00437F81" w14:paraId="3B71975E" w14:textId="77777777">
      <w:pPr>
        <w:rPr>
          <w:szCs w:val="24"/>
        </w:rPr>
      </w:pPr>
    </w:p>
    <w:p w:rsidRPr="00421C04" w:rsidR="00437F81" w:rsidP="00437F81" w:rsidRDefault="00437F81" w14:paraId="0FC8C4C6" w14:textId="77777777">
      <w:pPr>
        <w:rPr>
          <w:b/>
          <w:bCs/>
          <w:szCs w:val="24"/>
          <w:u w:val="single"/>
        </w:rPr>
      </w:pPr>
      <w:r w:rsidRPr="00421C04">
        <w:rPr>
          <w:b/>
          <w:bCs/>
          <w:szCs w:val="24"/>
          <w:u w:val="single"/>
        </w:rPr>
        <w:t>The Agency Record</w:t>
      </w:r>
    </w:p>
    <w:p w:rsidR="00437F81" w:rsidP="00437F81" w:rsidRDefault="00437F81" w14:paraId="24318851" w14:textId="77777777">
      <w:pPr>
        <w:rPr>
          <w:szCs w:val="24"/>
        </w:rPr>
      </w:pPr>
    </w:p>
    <w:p w:rsidRPr="00EB3E48" w:rsidR="00437F81" w:rsidP="00F63D96" w:rsidRDefault="00437F81" w14:paraId="1B476199" w14:textId="5507DF36">
      <w:pPr>
        <w:ind w:firstLine="720"/>
        <w:rPr>
          <w:szCs w:val="24"/>
        </w:rPr>
      </w:pPr>
      <w:r w:rsidRPr="00421C04">
        <w:rPr>
          <w:szCs w:val="24"/>
          <w:lang w:val="x-none"/>
        </w:rPr>
        <w:t>In making these findings, the Agency has received and reviewed the following: (1) the</w:t>
      </w:r>
      <w:r>
        <w:rPr>
          <w:szCs w:val="24"/>
          <w:lang w:val="x-none"/>
        </w:rPr>
        <w:t xml:space="preserve"> </w:t>
      </w:r>
      <w:r w:rsidRPr="00421C04">
        <w:rPr>
          <w:szCs w:val="24"/>
          <w:lang w:val="x-none"/>
        </w:rPr>
        <w:t>entire SEQRA Record prepared by the Town Board as the SEQRA Lead Agency for the</w:t>
      </w:r>
      <w:r>
        <w:rPr>
          <w:szCs w:val="24"/>
          <w:lang w:val="x-none"/>
        </w:rPr>
        <w:t xml:space="preserve"> </w:t>
      </w:r>
      <w:r w:rsidRPr="00421C04">
        <w:rPr>
          <w:szCs w:val="24"/>
          <w:lang w:val="x-none"/>
        </w:rPr>
        <w:t>approval of the B-MX Overlay District, including but not limited to the FGEIS and the</w:t>
      </w:r>
      <w:r>
        <w:rPr>
          <w:szCs w:val="24"/>
          <w:lang w:val="x-none"/>
        </w:rPr>
        <w:t xml:space="preserve"> </w:t>
      </w:r>
      <w:r w:rsidRPr="00421C04">
        <w:rPr>
          <w:szCs w:val="24"/>
          <w:lang w:val="x-none"/>
        </w:rPr>
        <w:t>DGEIS</w:t>
      </w:r>
      <w:r>
        <w:rPr>
          <w:szCs w:val="24"/>
          <w:lang w:val="x-none"/>
        </w:rPr>
        <w:t xml:space="preserve"> </w:t>
      </w:r>
      <w:r w:rsidRPr="00421C04">
        <w:rPr>
          <w:szCs w:val="24"/>
          <w:lang w:val="x-none"/>
        </w:rPr>
        <w:t>and all appendices, figures, tables, and other materials attached to or referenced</w:t>
      </w:r>
      <w:r>
        <w:rPr>
          <w:szCs w:val="24"/>
          <w:lang w:val="x-none"/>
        </w:rPr>
        <w:t xml:space="preserve"> </w:t>
      </w:r>
      <w:r w:rsidRPr="00421C04">
        <w:rPr>
          <w:szCs w:val="24"/>
          <w:lang w:val="x-none"/>
        </w:rPr>
        <w:t>therein; (2) the</w:t>
      </w:r>
      <w:r>
        <w:rPr>
          <w:szCs w:val="24"/>
          <w:lang w:val="x-none"/>
        </w:rPr>
        <w:t xml:space="preserve"> </w:t>
      </w:r>
      <w:r w:rsidRPr="00421C04">
        <w:rPr>
          <w:szCs w:val="24"/>
          <w:lang w:val="x-none"/>
        </w:rPr>
        <w:t>Town Board's SEQRA Findings Statement related to the FGEIS; (3) the entire SEQRA Record</w:t>
      </w:r>
      <w:r>
        <w:rPr>
          <w:szCs w:val="24"/>
          <w:lang w:val="x-none"/>
        </w:rPr>
        <w:t xml:space="preserve"> </w:t>
      </w:r>
      <w:r w:rsidRPr="00421C04">
        <w:rPr>
          <w:szCs w:val="24"/>
          <w:lang w:val="x-none"/>
        </w:rPr>
        <w:t>prepared by the Town Board as the SEQRA Lead Agency for the Project approval, including</w:t>
      </w:r>
      <w:r>
        <w:rPr>
          <w:szCs w:val="24"/>
          <w:lang w:val="x-none"/>
        </w:rPr>
        <w:t xml:space="preserve"> </w:t>
      </w:r>
      <w:r w:rsidRPr="00421C04">
        <w:rPr>
          <w:szCs w:val="24"/>
          <w:lang w:val="x-none"/>
        </w:rPr>
        <w:t xml:space="preserve">the </w:t>
      </w:r>
      <w:r w:rsidRPr="007B5382">
        <w:rPr>
          <w:szCs w:val="24"/>
        </w:rPr>
        <w:t>January 27, 2026</w:t>
      </w:r>
      <w:r>
        <w:rPr>
          <w:szCs w:val="24"/>
        </w:rPr>
        <w:t xml:space="preserve"> Town </w:t>
      </w:r>
      <w:r w:rsidRPr="00421C04">
        <w:rPr>
          <w:szCs w:val="24"/>
          <w:lang w:val="x-none"/>
        </w:rPr>
        <w:t>Negative Declaration issued by the Town Board</w:t>
      </w:r>
      <w:r>
        <w:rPr>
          <w:szCs w:val="24"/>
          <w:lang w:val="x-none"/>
        </w:rPr>
        <w:t xml:space="preserve"> and</w:t>
      </w:r>
      <w:r w:rsidRPr="00421C04">
        <w:rPr>
          <w:szCs w:val="24"/>
          <w:lang w:val="x-none"/>
        </w:rPr>
        <w:t xml:space="preserve"> </w:t>
      </w:r>
      <w:r w:rsidRPr="007B5382">
        <w:rPr>
          <w:szCs w:val="24"/>
        </w:rPr>
        <w:t>VHB’s January 22, 2026</w:t>
      </w:r>
      <w:r>
        <w:rPr>
          <w:szCs w:val="24"/>
        </w:rPr>
        <w:t xml:space="preserve"> </w:t>
      </w:r>
      <w:r w:rsidRPr="007B5382">
        <w:rPr>
          <w:szCs w:val="24"/>
        </w:rPr>
        <w:t>Consistency Analysis report</w:t>
      </w:r>
      <w:r w:rsidR="00F678EC">
        <w:rPr>
          <w:szCs w:val="24"/>
        </w:rPr>
        <w:t xml:space="preserve"> and all attachments thereto</w:t>
      </w:r>
      <w:r w:rsidRPr="00F63D96" w:rsidR="00F63D96">
        <w:rPr>
          <w:rFonts w:ascii="Book Antiqua" w:hAnsi="Book Antiqua" w:eastAsiaTheme="minorHAnsi" w:cstheme="minorBidi"/>
          <w:szCs w:val="22"/>
        </w:rPr>
        <w:t xml:space="preserve"> </w:t>
      </w:r>
      <w:r w:rsidRPr="00F63D96" w:rsidR="00F63D96">
        <w:rPr>
          <w:szCs w:val="24"/>
        </w:rPr>
        <w:t xml:space="preserve">including: (i) a November 19, 2025 letter from </w:t>
      </w:r>
      <w:r w:rsidRPr="00F63D96" w:rsidR="00F63D96">
        <w:rPr>
          <w:szCs w:val="24"/>
          <w:lang w:val="x-none"/>
        </w:rPr>
        <w:t>Project architect, Salvatore Ferrara</w:t>
      </w:r>
      <w:r w:rsidR="009273C4">
        <w:rPr>
          <w:szCs w:val="24"/>
          <w:lang w:val="x-none"/>
        </w:rPr>
        <w:t>,</w:t>
      </w:r>
      <w:r w:rsidRPr="00F63D96" w:rsidR="00F63D96">
        <w:rPr>
          <w:szCs w:val="24"/>
          <w:lang w:val="x-none"/>
        </w:rPr>
        <w:t xml:space="preserve"> explaining the Project’s design concept and community benefits (“</w:t>
      </w:r>
      <w:r w:rsidRPr="00F63D96" w:rsidR="00F63D96">
        <w:rPr>
          <w:b/>
          <w:bCs/>
          <w:szCs w:val="24"/>
          <w:lang w:val="x-none"/>
        </w:rPr>
        <w:t>Architect Letter</w:t>
      </w:r>
      <w:r w:rsidRPr="00F63D96" w:rsidR="00F63D96">
        <w:rPr>
          <w:szCs w:val="24"/>
          <w:lang w:val="x-none"/>
        </w:rPr>
        <w:t>”)</w:t>
      </w:r>
      <w:r w:rsidR="009273C4">
        <w:rPr>
          <w:szCs w:val="24"/>
          <w:lang w:val="x-none"/>
        </w:rPr>
        <w:t>,</w:t>
      </w:r>
      <w:r w:rsidRPr="00F63D96" w:rsidR="00F63D96">
        <w:rPr>
          <w:szCs w:val="24"/>
          <w:lang w:val="x-none"/>
        </w:rPr>
        <w:t xml:space="preserve"> (ii) a December 3, 2025 email from H2M Architects and Engineers confirming sewer capacity for the Project (“</w:t>
      </w:r>
      <w:r w:rsidRPr="00F63D96" w:rsidR="00F63D96">
        <w:rPr>
          <w:b/>
          <w:bCs/>
          <w:szCs w:val="24"/>
          <w:lang w:val="x-none"/>
        </w:rPr>
        <w:t>Sewer Confirmation</w:t>
      </w:r>
      <w:r w:rsidRPr="00F63D96" w:rsidR="00F63D96">
        <w:rPr>
          <w:szCs w:val="24"/>
          <w:lang w:val="x-none"/>
        </w:rPr>
        <w:t>”)</w:t>
      </w:r>
      <w:r w:rsidR="009273C4">
        <w:rPr>
          <w:szCs w:val="24"/>
          <w:lang w:val="x-none"/>
        </w:rPr>
        <w:t>,</w:t>
      </w:r>
      <w:r w:rsidRPr="00F63D96" w:rsidR="00F63D96">
        <w:rPr>
          <w:szCs w:val="24"/>
          <w:lang w:val="x-none"/>
        </w:rPr>
        <w:t xml:space="preserve"> (iii) a December 8, 2025 letter from Liberty Utilities, confirming water availability for the Project (“</w:t>
      </w:r>
      <w:r w:rsidRPr="00F63D96" w:rsidR="00F63D96">
        <w:rPr>
          <w:b/>
          <w:bCs/>
          <w:szCs w:val="24"/>
          <w:lang w:val="x-none"/>
        </w:rPr>
        <w:t>Water Confirmation</w:t>
      </w:r>
      <w:r w:rsidRPr="00F63D96" w:rsidR="00F63D96">
        <w:rPr>
          <w:szCs w:val="24"/>
          <w:lang w:val="x-none"/>
        </w:rPr>
        <w:t>”)</w:t>
      </w:r>
      <w:r w:rsidR="009273C4">
        <w:rPr>
          <w:szCs w:val="24"/>
          <w:lang w:val="x-none"/>
        </w:rPr>
        <w:t>,</w:t>
      </w:r>
      <w:r w:rsidRPr="00F63D96" w:rsidR="00F63D96">
        <w:rPr>
          <w:szCs w:val="24"/>
          <w:lang w:val="x-none"/>
        </w:rPr>
        <w:t xml:space="preserve"> (iv) a Phase I environmental site assessment prepared for the Project dated January 2026 (“</w:t>
      </w:r>
      <w:r w:rsidRPr="00F63D96" w:rsidR="00F63D96">
        <w:rPr>
          <w:b/>
          <w:bCs/>
          <w:szCs w:val="24"/>
          <w:lang w:val="x-none"/>
        </w:rPr>
        <w:t>Phase I</w:t>
      </w:r>
      <w:r w:rsidRPr="00F63D96" w:rsidR="00F63D96">
        <w:rPr>
          <w:szCs w:val="24"/>
          <w:lang w:val="x-none"/>
        </w:rPr>
        <w:t>”)</w:t>
      </w:r>
      <w:r w:rsidR="009273C4">
        <w:rPr>
          <w:szCs w:val="24"/>
          <w:lang w:val="x-none"/>
        </w:rPr>
        <w:t>,</w:t>
      </w:r>
      <w:r w:rsidRPr="00F63D96" w:rsidR="00F63D96">
        <w:rPr>
          <w:szCs w:val="24"/>
          <w:lang w:val="x-none"/>
        </w:rPr>
        <w:t xml:space="preserve"> and (v) a December 14, 2025 letter from the Nassau County Office of the Fire Marshal detailing the applicable fire code requirements for the Project (“</w:t>
      </w:r>
      <w:r w:rsidRPr="00F63D96" w:rsidR="00F63D96">
        <w:rPr>
          <w:b/>
          <w:bCs/>
          <w:szCs w:val="24"/>
          <w:lang w:val="x-none"/>
        </w:rPr>
        <w:t>Fire Marshal Letter</w:t>
      </w:r>
      <w:r w:rsidRPr="00F63D96" w:rsidR="00F63D96">
        <w:rPr>
          <w:szCs w:val="24"/>
          <w:lang w:val="x-none"/>
        </w:rPr>
        <w:t>”)</w:t>
      </w:r>
      <w:r w:rsidRPr="00421C04">
        <w:rPr>
          <w:szCs w:val="24"/>
          <w:lang w:val="x-none"/>
        </w:rPr>
        <w:t xml:space="preserve">; (4) the March </w:t>
      </w:r>
      <w:r>
        <w:rPr>
          <w:szCs w:val="24"/>
          <w:lang w:val="x-none"/>
        </w:rPr>
        <w:t>10</w:t>
      </w:r>
      <w:r w:rsidRPr="00421C04">
        <w:rPr>
          <w:szCs w:val="24"/>
          <w:lang w:val="x-none"/>
        </w:rPr>
        <w:t>, 202</w:t>
      </w:r>
      <w:r>
        <w:rPr>
          <w:szCs w:val="24"/>
          <w:lang w:val="x-none"/>
        </w:rPr>
        <w:t xml:space="preserve">5 </w:t>
      </w:r>
      <w:r w:rsidRPr="00421C04">
        <w:rPr>
          <w:szCs w:val="24"/>
          <w:lang w:val="x-none"/>
        </w:rPr>
        <w:t>Application for Financial Assistance to the Agency</w:t>
      </w:r>
      <w:r>
        <w:rPr>
          <w:szCs w:val="24"/>
          <w:lang w:val="x-none"/>
        </w:rPr>
        <w:t xml:space="preserve"> (“</w:t>
      </w:r>
      <w:r w:rsidRPr="00C92BEE">
        <w:rPr>
          <w:b/>
          <w:bCs/>
          <w:szCs w:val="24"/>
          <w:lang w:val="x-none"/>
        </w:rPr>
        <w:t>Application</w:t>
      </w:r>
      <w:r>
        <w:rPr>
          <w:szCs w:val="24"/>
          <w:lang w:val="x-none"/>
        </w:rPr>
        <w:t>”)</w:t>
      </w:r>
      <w:r w:rsidRPr="00421C04">
        <w:rPr>
          <w:szCs w:val="24"/>
          <w:lang w:val="x-none"/>
        </w:rPr>
        <w:t>; (5) a Full Environmental Assessment</w:t>
      </w:r>
      <w:r>
        <w:rPr>
          <w:szCs w:val="24"/>
          <w:lang w:val="x-none"/>
        </w:rPr>
        <w:t xml:space="preserve"> </w:t>
      </w:r>
      <w:r w:rsidRPr="00421C04">
        <w:rPr>
          <w:szCs w:val="24"/>
          <w:lang w:val="x-none"/>
        </w:rPr>
        <w:t xml:space="preserve">Form, dated </w:t>
      </w:r>
      <w:r>
        <w:rPr>
          <w:szCs w:val="24"/>
          <w:lang w:val="x-none"/>
        </w:rPr>
        <w:t>February 6, 2025</w:t>
      </w:r>
      <w:r w:rsidRPr="00421C04">
        <w:rPr>
          <w:szCs w:val="24"/>
          <w:lang w:val="x-none"/>
        </w:rPr>
        <w:t xml:space="preserve"> (the "</w:t>
      </w:r>
      <w:r w:rsidRPr="00421C04">
        <w:rPr>
          <w:b/>
          <w:bCs/>
          <w:szCs w:val="24"/>
          <w:lang w:val="x-none"/>
        </w:rPr>
        <w:t>EAF</w:t>
      </w:r>
      <w:r w:rsidRPr="00421C04">
        <w:rPr>
          <w:szCs w:val="24"/>
          <w:lang w:val="x-none"/>
        </w:rPr>
        <w:t>"); (6) NYSDEC's Environmental Resource Mapper</w:t>
      </w:r>
      <w:r>
        <w:rPr>
          <w:szCs w:val="24"/>
          <w:lang w:val="x-none"/>
        </w:rPr>
        <w:t xml:space="preserve"> </w:t>
      </w:r>
      <w:r w:rsidRPr="00421C04">
        <w:rPr>
          <w:szCs w:val="24"/>
          <w:lang w:val="x-none"/>
        </w:rPr>
        <w:t>Summary Report; (7) New York State Historic Preservation Office's Cultural Resources</w:t>
      </w:r>
      <w:r>
        <w:rPr>
          <w:szCs w:val="24"/>
          <w:lang w:val="x-none"/>
        </w:rPr>
        <w:t xml:space="preserve"> </w:t>
      </w:r>
      <w:r w:rsidRPr="00421C04">
        <w:rPr>
          <w:szCs w:val="24"/>
          <w:lang w:val="x-none"/>
        </w:rPr>
        <w:t>Information System ("</w:t>
      </w:r>
      <w:r w:rsidRPr="00421C04">
        <w:rPr>
          <w:b/>
          <w:bCs/>
          <w:szCs w:val="24"/>
          <w:lang w:val="x-none"/>
        </w:rPr>
        <w:t>CRIS</w:t>
      </w:r>
      <w:r w:rsidRPr="00421C04">
        <w:rPr>
          <w:szCs w:val="24"/>
          <w:lang w:val="x-none"/>
        </w:rPr>
        <w:t>"); and (</w:t>
      </w:r>
      <w:r>
        <w:rPr>
          <w:szCs w:val="24"/>
          <w:lang w:val="x-none"/>
        </w:rPr>
        <w:t>8</w:t>
      </w:r>
      <w:r w:rsidRPr="00421C04">
        <w:rPr>
          <w:szCs w:val="24"/>
          <w:lang w:val="x-none"/>
        </w:rPr>
        <w:t>) other relevant</w:t>
      </w:r>
      <w:r>
        <w:rPr>
          <w:szCs w:val="24"/>
          <w:lang w:val="x-none"/>
        </w:rPr>
        <w:t xml:space="preserve"> </w:t>
      </w:r>
      <w:r w:rsidRPr="00421C04">
        <w:rPr>
          <w:szCs w:val="24"/>
          <w:lang w:val="x-none"/>
        </w:rPr>
        <w:t>environmental information (collectively, with 1-</w:t>
      </w:r>
      <w:r>
        <w:rPr>
          <w:szCs w:val="24"/>
          <w:lang w:val="x-none"/>
        </w:rPr>
        <w:t>8</w:t>
      </w:r>
      <w:r w:rsidRPr="00421C04">
        <w:rPr>
          <w:szCs w:val="24"/>
          <w:lang w:val="x-none"/>
        </w:rPr>
        <w:t xml:space="preserve"> shall be referred to as the "</w:t>
      </w:r>
      <w:r w:rsidRPr="00421C04">
        <w:rPr>
          <w:b/>
          <w:bCs/>
          <w:szCs w:val="24"/>
          <w:lang w:val="x-none"/>
        </w:rPr>
        <w:t>Environmental</w:t>
      </w:r>
      <w:r w:rsidRPr="00C92BEE">
        <w:rPr>
          <w:b/>
          <w:bCs/>
          <w:szCs w:val="24"/>
          <w:lang w:val="x-none"/>
        </w:rPr>
        <w:t xml:space="preserve"> Information</w:t>
      </w:r>
      <w:r w:rsidRPr="00421C04">
        <w:rPr>
          <w:szCs w:val="24"/>
          <w:lang w:val="x-none"/>
        </w:rPr>
        <w:t>").</w:t>
      </w:r>
    </w:p>
    <w:p w:rsidR="00437F81" w:rsidP="00437F81" w:rsidRDefault="00437F81" w14:paraId="1C77D9B7" w14:textId="77777777">
      <w:pPr>
        <w:rPr>
          <w:szCs w:val="24"/>
          <w:lang w:val="x-none"/>
        </w:rPr>
      </w:pPr>
    </w:p>
    <w:p w:rsidRPr="00C92BEE" w:rsidR="00437F81" w:rsidP="00437F81" w:rsidRDefault="00437F81" w14:paraId="3CE7FE9F" w14:textId="77777777">
      <w:pPr>
        <w:rPr>
          <w:b/>
          <w:bCs/>
          <w:szCs w:val="24"/>
          <w:u w:val="single"/>
          <w:lang w:val="x-none"/>
        </w:rPr>
      </w:pPr>
      <w:r w:rsidRPr="00C92BEE">
        <w:rPr>
          <w:b/>
          <w:bCs/>
          <w:szCs w:val="24"/>
          <w:u w:val="single"/>
          <w:lang w:val="x-none"/>
        </w:rPr>
        <w:t>Findings</w:t>
      </w:r>
    </w:p>
    <w:p w:rsidR="00437F81" w:rsidP="00437F81" w:rsidRDefault="00437F81" w14:paraId="2B1FFBFF" w14:textId="77777777">
      <w:pPr>
        <w:rPr>
          <w:szCs w:val="24"/>
          <w:lang w:val="x-none"/>
        </w:rPr>
      </w:pPr>
    </w:p>
    <w:p w:rsidR="00437F81" w:rsidP="00437F81" w:rsidRDefault="00437F81" w14:paraId="05131E23" w14:textId="77777777">
      <w:pPr>
        <w:pStyle w:val="ListParagraph"/>
        <w:numPr>
          <w:ilvl w:val="0"/>
          <w:numId w:val="23"/>
        </w:numPr>
        <w:rPr>
          <w:lang w:val="x-none"/>
        </w:rPr>
      </w:pPr>
      <w:r w:rsidRPr="00A1389E">
        <w:rPr>
          <w:lang w:val="x-none"/>
        </w:rPr>
        <w:t>Based upon a thorough review and examination of the Project and the Environmental</w:t>
      </w:r>
      <w:r>
        <w:rPr>
          <w:lang w:val="x-none"/>
        </w:rPr>
        <w:t xml:space="preserve"> </w:t>
      </w:r>
      <w:r w:rsidRPr="00A1389E">
        <w:rPr>
          <w:lang w:val="x-none"/>
        </w:rPr>
        <w:t>Info</w:t>
      </w:r>
      <w:r>
        <w:rPr>
          <w:lang w:val="x-none"/>
        </w:rPr>
        <w:t>rm</w:t>
      </w:r>
      <w:r w:rsidRPr="00A1389E">
        <w:rPr>
          <w:lang w:val="x-none"/>
        </w:rPr>
        <w:t>ation, and upon the Agency's knowledge of the area surrounding the Land and</w:t>
      </w:r>
      <w:r>
        <w:rPr>
          <w:lang w:val="x-none"/>
        </w:rPr>
        <w:t xml:space="preserve"> </w:t>
      </w:r>
      <w:r w:rsidRPr="00A1389E">
        <w:rPr>
          <w:lang w:val="x-none"/>
        </w:rPr>
        <w:lastRenderedPageBreak/>
        <w:t>such further investigation of the Project and its environmental effects as the Agenc</w:t>
      </w:r>
      <w:r>
        <w:rPr>
          <w:lang w:val="x-none"/>
        </w:rPr>
        <w:t xml:space="preserve">y </w:t>
      </w:r>
      <w:r w:rsidRPr="00A1389E">
        <w:rPr>
          <w:lang w:val="x-none"/>
        </w:rPr>
        <w:t>has</w:t>
      </w:r>
      <w:r>
        <w:rPr>
          <w:lang w:val="x-none"/>
        </w:rPr>
        <w:t xml:space="preserve"> </w:t>
      </w:r>
      <w:r w:rsidRPr="00A1389E">
        <w:rPr>
          <w:lang w:val="x-none"/>
        </w:rPr>
        <w:t>deemed appropriate, the Agency makes the following findings with respect to the</w:t>
      </w:r>
      <w:r>
        <w:rPr>
          <w:lang w:val="x-none"/>
        </w:rPr>
        <w:t xml:space="preserve"> </w:t>
      </w:r>
      <w:r w:rsidRPr="00A1389E">
        <w:rPr>
          <w:lang w:val="x-none"/>
        </w:rPr>
        <w:t>Project:</w:t>
      </w:r>
    </w:p>
    <w:p w:rsidR="00437F81" w:rsidP="00437F81" w:rsidRDefault="00437F81" w14:paraId="4977D68B" w14:textId="77777777">
      <w:pPr>
        <w:pStyle w:val="ListParagraph"/>
        <w:rPr>
          <w:lang w:val="x-none"/>
        </w:rPr>
      </w:pPr>
    </w:p>
    <w:p w:rsidRPr="00EB3E48" w:rsidR="00437F81" w:rsidP="00EB3E48" w:rsidRDefault="00437F81" w14:paraId="470B5EC0" w14:textId="01BF9983">
      <w:pPr>
        <w:pStyle w:val="ListParagraph"/>
        <w:numPr>
          <w:ilvl w:val="1"/>
          <w:numId w:val="23"/>
        </w:numPr>
        <w:rPr>
          <w:lang w:val="x-none"/>
        </w:rPr>
      </w:pPr>
      <w:r>
        <w:rPr>
          <w:lang w:val="x-none"/>
        </w:rPr>
        <w:t xml:space="preserve">The Project has been the subject of the Town Negative Declaration and the Agency has subsequently been identified as an involved agency. </w:t>
      </w:r>
    </w:p>
    <w:p w:rsidRPr="00EB3E48" w:rsidR="007B2187" w:rsidP="00EB3E48" w:rsidRDefault="007B2187" w14:paraId="178F54A1" w14:textId="009A7D5A">
      <w:pPr>
        <w:pStyle w:val="ListParagraph"/>
        <w:rPr>
          <w:lang w:val="x-none"/>
        </w:rPr>
      </w:pPr>
    </w:p>
    <w:p w:rsidR="007B2187" w:rsidP="00437F81" w:rsidRDefault="005839D3" w14:paraId="48C3B8A4" w14:textId="3FB2CFA0">
      <w:pPr>
        <w:pStyle w:val="ListParagraph"/>
        <w:numPr>
          <w:ilvl w:val="1"/>
          <w:numId w:val="23"/>
        </w:numPr>
        <w:rPr>
          <w:lang w:val="x-none"/>
        </w:rPr>
      </w:pPr>
      <w:r w:rsidRPr="005839D3">
        <w:rPr>
          <w:lang w:val="x-none"/>
        </w:rPr>
        <w:t xml:space="preserve">The residential component of the Project will generate a peak demand of 45 parking spaces whereas the Project will generate a peak combined (residential and retail components) parking demand of 51 spaces on weekdays and 54 spaces on Saturdays </w:t>
      </w:r>
      <w:r w:rsidR="009273C4">
        <w:rPr>
          <w:lang w:val="x-none"/>
        </w:rPr>
        <w:t>while</w:t>
      </w:r>
      <w:r w:rsidRPr="005839D3">
        <w:rPr>
          <w:lang w:val="x-none"/>
        </w:rPr>
        <w:t xml:space="preserve"> the Project will provide 45 on-site spaces creating a shortfall of approximately 9 spaces.  Notwithstanding, as explained in the Consistency Analysis, the residential and retail components of the Project have complimentary demand patterns, with the residential component peak demand occurring overnight opposite of the retail component generating peak demand during the day.  Additionally, as described in the Consistency Analysis, a time-of-day analysis confirmed that parking demand can be fully accommodated</w:t>
      </w:r>
      <w:r w:rsidR="009273C4">
        <w:rPr>
          <w:lang w:val="x-none"/>
        </w:rPr>
        <w:t>,</w:t>
      </w:r>
      <w:r w:rsidRPr="005839D3">
        <w:rPr>
          <w:lang w:val="x-none"/>
        </w:rPr>
        <w:t xml:space="preserve"> with any shortfall for the retail component demand being adequately met with readily available on-street parking.  In exchange for receipt of the parking Variances, the Applicant provided indoor and outdoor community space in the Project design and committed a contribution of $210,000 to the Town community improvement fund, which the Town Board found to be adequate.  The Land is within Baldwin and is approximately 250 feet from the Baldwin Long Island Railroad Station</w:t>
      </w:r>
      <w:r w:rsidR="001737EA">
        <w:rPr>
          <w:lang w:val="x-none"/>
        </w:rPr>
        <w:t xml:space="preserve"> (“</w:t>
      </w:r>
      <w:r w:rsidRPr="00EB3E48" w:rsidR="001737EA">
        <w:rPr>
          <w:b/>
          <w:bCs/>
          <w:lang w:val="x-none"/>
        </w:rPr>
        <w:t>LIRR</w:t>
      </w:r>
      <w:r w:rsidR="001737EA">
        <w:rPr>
          <w:lang w:val="x-none"/>
        </w:rPr>
        <w:t>”)</w:t>
      </w:r>
      <w:r w:rsidRPr="005839D3">
        <w:rPr>
          <w:lang w:val="x-none"/>
        </w:rPr>
        <w:t>, and is within walking distance of area restaurants and services. Overall, the Project will provide adequate parking for the proposed uses in concert with additional provided community benefits, and creates a pedestrian and transit-friendly project that will not create significant demand on neighboring streets or transportation.</w:t>
      </w:r>
    </w:p>
    <w:p w:rsidR="005839D3" w:rsidP="00EB3E48" w:rsidRDefault="005839D3" w14:paraId="6EEABFC1" w14:textId="77777777">
      <w:pPr>
        <w:pStyle w:val="ListParagraph"/>
        <w:ind w:left="1440"/>
        <w:rPr>
          <w:lang w:val="x-none"/>
        </w:rPr>
      </w:pPr>
    </w:p>
    <w:p w:rsidR="005839D3" w:rsidP="00437F81" w:rsidRDefault="00690027" w14:paraId="2B77614E" w14:textId="36929B85">
      <w:pPr>
        <w:pStyle w:val="ListParagraph"/>
        <w:numPr>
          <w:ilvl w:val="1"/>
          <w:numId w:val="23"/>
        </w:numPr>
        <w:rPr>
          <w:lang w:val="x-none"/>
        </w:rPr>
      </w:pPr>
      <w:r w:rsidRPr="00690027">
        <w:rPr>
          <w:lang w:val="x-none"/>
        </w:rPr>
        <w:t xml:space="preserve">The Land is currently developed with open-air surface parking, and 5 existing commercial buildings along the Grand Avenue frontage. The EAF indicates that there are no wetlands or other surface bodies present near or on the Land, and the Project will not create any new waterbody or affect the surface area of any existing waterbody. The Project is not located in a designated 100-year or 500-year floodplain. The Project will result in a small decrease in the Land’s impervious area. </w:t>
      </w:r>
      <w:r w:rsidR="009273C4">
        <w:rPr>
          <w:lang w:val="x-none"/>
        </w:rPr>
        <w:t xml:space="preserve"> </w:t>
      </w:r>
      <w:r w:rsidRPr="00690027">
        <w:rPr>
          <w:lang w:val="x-none"/>
        </w:rPr>
        <w:t>An on-site stormwater management system will be designed and installed, meeting the Town of Hempstead’s storage requirements. Accordingly, the Project will not create any potentially significant adverse impacts on surface water.</w:t>
      </w:r>
    </w:p>
    <w:p w:rsidRPr="00EB3E48" w:rsidR="003825C2" w:rsidP="00EB3E48" w:rsidRDefault="003825C2" w14:paraId="7D98F339" w14:textId="77777777">
      <w:pPr>
        <w:pStyle w:val="ListParagraph"/>
        <w:rPr>
          <w:lang w:val="x-none"/>
        </w:rPr>
      </w:pPr>
    </w:p>
    <w:p w:rsidR="003825C2" w:rsidP="00437F81" w:rsidRDefault="003825C2" w14:paraId="09041B53" w14:textId="7BA395CC">
      <w:pPr>
        <w:pStyle w:val="ListParagraph"/>
        <w:numPr>
          <w:ilvl w:val="1"/>
          <w:numId w:val="23"/>
        </w:numPr>
        <w:rPr>
          <w:lang w:val="x-none"/>
        </w:rPr>
      </w:pPr>
      <w:r>
        <w:rPr>
          <w:lang w:val="x-none"/>
        </w:rPr>
        <w:t>According to the Consistency Analysis and the EAF, the Project is not located adjacent to any historical resource eligible or listed on the state or federal register of historic places.  The closest historic resource, the Koch building, is located over 400 feet from the Land and is separated by the intervening LIRR</w:t>
      </w:r>
      <w:r w:rsidR="001737EA">
        <w:rPr>
          <w:lang w:val="x-none"/>
        </w:rPr>
        <w:t xml:space="preserve"> and Sunrise Highway.  According to the Consistency Analysis</w:t>
      </w:r>
      <w:r w:rsidR="00EE1A41">
        <w:rPr>
          <w:lang w:val="x-none"/>
        </w:rPr>
        <w:t>, and as confirmed by Google Street View mapping, the Project will not be visible from the Koch building.  In addition</w:t>
      </w:r>
      <w:r w:rsidR="00EE1A41">
        <w:t>, the Project does not include the reduction of public open space or public recreation space.</w:t>
      </w:r>
      <w:r w:rsidR="001C0FCA">
        <w:t xml:space="preserve">  </w:t>
      </w:r>
      <w:r w:rsidRPr="00690027" w:rsidR="001C0FCA">
        <w:rPr>
          <w:lang w:val="x-none"/>
        </w:rPr>
        <w:t xml:space="preserve">Accordingly, the Project will not </w:t>
      </w:r>
      <w:r w:rsidRPr="00690027" w:rsidR="001C0FCA">
        <w:rPr>
          <w:lang w:val="x-none"/>
        </w:rPr>
        <w:lastRenderedPageBreak/>
        <w:t xml:space="preserve">create any potentially significant adverse impacts on </w:t>
      </w:r>
      <w:r w:rsidR="001C0FCA">
        <w:rPr>
          <w:lang w:val="x-none"/>
        </w:rPr>
        <w:t>historical resources or public recreation</w:t>
      </w:r>
      <w:r w:rsidRPr="00690027" w:rsidR="001C0FCA">
        <w:rPr>
          <w:lang w:val="x-none"/>
        </w:rPr>
        <w:t>.</w:t>
      </w:r>
    </w:p>
    <w:p w:rsidRPr="00EB3E48" w:rsidR="001C0FCA" w:rsidP="00EB3E48" w:rsidRDefault="001C0FCA" w14:paraId="136E425F" w14:textId="77777777">
      <w:pPr>
        <w:pStyle w:val="ListParagraph"/>
        <w:rPr>
          <w:lang w:val="x-none"/>
        </w:rPr>
      </w:pPr>
    </w:p>
    <w:p w:rsidR="001C0FCA" w:rsidP="00437F81" w:rsidRDefault="001C0FCA" w14:paraId="5C390B2A" w14:textId="3CB6B538">
      <w:pPr>
        <w:pStyle w:val="ListParagraph"/>
        <w:numPr>
          <w:ilvl w:val="1"/>
          <w:numId w:val="23"/>
        </w:numPr>
        <w:rPr>
          <w:lang w:val="x-none"/>
        </w:rPr>
      </w:pPr>
      <w:r>
        <w:rPr>
          <w:lang w:val="x-none"/>
        </w:rPr>
        <w:t>The GEIS requires that Projects located in close vicinity of the LIRR must provide noise attenuation to achieve a 45 dB interior sound level.  As explained in the Consistency Analysis, the Project will incorporate noise attenuation through design and construction elements which will provide noise insulation exceeding the applicable building code requirements</w:t>
      </w:r>
      <w:r w:rsidR="00D70578">
        <w:rPr>
          <w:lang w:val="x-none"/>
        </w:rPr>
        <w:t xml:space="preserve">.  Based on the foregoing, the Project will not have noise impacts beyond that contemplated under the GEIS.  </w:t>
      </w:r>
    </w:p>
    <w:p w:rsidRPr="00EB3E48" w:rsidR="003E018B" w:rsidP="00EB3E48" w:rsidRDefault="003E018B" w14:paraId="31DBD667" w14:textId="77777777">
      <w:pPr>
        <w:pStyle w:val="ListParagraph"/>
        <w:rPr>
          <w:lang w:val="x-none"/>
        </w:rPr>
      </w:pPr>
    </w:p>
    <w:p w:rsidR="003E018B" w:rsidP="00437F81" w:rsidRDefault="003E018B" w14:paraId="76478C3C" w14:textId="7FB72C50">
      <w:pPr>
        <w:pStyle w:val="ListParagraph"/>
        <w:numPr>
          <w:ilvl w:val="1"/>
          <w:numId w:val="23"/>
        </w:numPr>
        <w:rPr>
          <w:lang w:val="x-none"/>
        </w:rPr>
      </w:pPr>
      <w:r>
        <w:rPr>
          <w:lang w:val="x-none"/>
        </w:rPr>
        <w:t xml:space="preserve">As required by the GEIS, a Phase I was completed for the Project which indicated that due to prior remedial actions, and the lack recorded releases of contaminants, the prior historic dry cleaner use on the Land did not appear to represent a significant environmental threat.  </w:t>
      </w:r>
      <w:r w:rsidR="00C07221">
        <w:rPr>
          <w:lang w:val="x-none"/>
        </w:rPr>
        <w:t xml:space="preserve">Notwithstanding, the Phase I recommended as applicable here, that an invasive asbestos survey be performed prior to demolition of the existing buildings on the Land.  The Town Negative Declaration in turn requires the Applicant to perform such additional investigation and abatement and provide the Town with any </w:t>
      </w:r>
      <w:r w:rsidR="00CA0550">
        <w:rPr>
          <w:lang w:val="x-none"/>
        </w:rPr>
        <w:t xml:space="preserve">remedial work plan for required abatement as applicable.  Additionally, the Town Negative Declaration requires the Applicant to submit regulatory oversight and sign-off documentation to the Town for review in the event contamination above applicable standards is detected and requires abatement.  Accordingly, the combination of the lack of contamination found through the Phase I and the comprehensive investigation and abatement requirements will ensure that there will be no adverse impacts to human health from the development of the Project.   </w:t>
      </w:r>
      <w:r>
        <w:rPr>
          <w:lang w:val="x-none"/>
        </w:rPr>
        <w:t xml:space="preserve"> </w:t>
      </w:r>
    </w:p>
    <w:p w:rsidR="00D75A6B" w:rsidP="00EB3E48" w:rsidRDefault="00D75A6B" w14:paraId="1A670D8E" w14:textId="77777777">
      <w:pPr>
        <w:pStyle w:val="ListParagraph"/>
        <w:ind w:left="1440"/>
        <w:rPr>
          <w:lang w:val="x-none"/>
        </w:rPr>
      </w:pPr>
    </w:p>
    <w:p w:rsidRPr="00EB3E48" w:rsidR="00D75A6B" w:rsidP="00F70901" w:rsidRDefault="00F70901" w14:paraId="35FB1EA1" w14:textId="1FF8CDEC">
      <w:pPr>
        <w:pStyle w:val="ListParagraph"/>
        <w:numPr>
          <w:ilvl w:val="1"/>
          <w:numId w:val="23"/>
        </w:numPr>
        <w:rPr>
          <w:lang w:val="x-none"/>
        </w:rPr>
      </w:pPr>
      <w:r>
        <w:rPr>
          <w:lang w:val="x-none"/>
        </w:rPr>
        <w:t>In addition to the above findings, t</w:t>
      </w:r>
      <w:r w:rsidRPr="00F70901">
        <w:rPr>
          <w:lang w:val="x-none"/>
        </w:rPr>
        <w:t xml:space="preserve">he Agency adopts the Town Board's SEQRA Determination in its entirety with regard to Project (attached as </w:t>
      </w:r>
      <w:r w:rsidRPr="00EB3E48">
        <w:rPr>
          <w:u w:val="single"/>
          <w:lang w:val="x-none"/>
        </w:rPr>
        <w:t>Exhibit G</w:t>
      </w:r>
      <w:r w:rsidRPr="00F70901">
        <w:rPr>
          <w:lang w:val="x-none"/>
        </w:rPr>
        <w:t>) as it responds fully to the environmental concerns of the Agency.</w:t>
      </w:r>
    </w:p>
    <w:p w:rsidRPr="00437F81" w:rsidR="00437F81" w:rsidP="00437F81" w:rsidRDefault="00437F81" w14:paraId="77F50395" w14:textId="77777777">
      <w:pPr>
        <w:pStyle w:val="ListParagraph"/>
        <w:rPr>
          <w:lang w:val="x-none"/>
        </w:rPr>
      </w:pPr>
    </w:p>
    <w:p w:rsidRPr="00437F81" w:rsidR="00437F81" w:rsidP="00437F81" w:rsidRDefault="00437F81" w14:paraId="0D97566E" w14:textId="77777777">
      <w:pPr>
        <w:pStyle w:val="ListParagraph"/>
        <w:numPr>
          <w:ilvl w:val="1"/>
          <w:numId w:val="23"/>
        </w:numPr>
        <w:rPr>
          <w:lang w:val="x-none"/>
        </w:rPr>
      </w:pPr>
      <w:r w:rsidRPr="00437F81">
        <w:rPr>
          <w:lang w:val="x-none"/>
        </w:rPr>
        <w:t>The Chair or Chief Executive Officer of the Agency are hereby authorized and directed</w:t>
      </w:r>
      <w:r>
        <w:rPr>
          <w:lang w:val="x-none"/>
        </w:rPr>
        <w:t xml:space="preserve"> </w:t>
      </w:r>
      <w:r w:rsidRPr="00437F81">
        <w:rPr>
          <w:lang w:val="x-none"/>
        </w:rPr>
        <w:t>to distribute copies of this Findings Statement to the Company and to do such further</w:t>
      </w:r>
      <w:r>
        <w:rPr>
          <w:lang w:val="x-none"/>
        </w:rPr>
        <w:t xml:space="preserve"> </w:t>
      </w:r>
      <w:r w:rsidRPr="00437F81">
        <w:rPr>
          <w:lang w:val="x-none"/>
        </w:rPr>
        <w:t>things or perform such acts as may be necessary or convenient to implement the</w:t>
      </w:r>
      <w:r>
        <w:rPr>
          <w:lang w:val="x-none"/>
        </w:rPr>
        <w:t xml:space="preserve"> </w:t>
      </w:r>
      <w:r w:rsidRPr="00437F81">
        <w:rPr>
          <w:lang w:val="x-none"/>
        </w:rPr>
        <w:t>provisions of this Resolution and comply with SEQRA.</w:t>
      </w:r>
    </w:p>
    <w:p w:rsidR="00FA4DBF" w:rsidRDefault="00FA4DBF" w14:paraId="17008D57" w14:textId="77777777">
      <w:pPr>
        <w:pStyle w:val="ListParagraph"/>
        <w:jc w:val="both"/>
        <w:rPr>
          <w:sz w:val="22"/>
          <w:szCs w:val="22"/>
        </w:rPr>
      </w:pPr>
    </w:p>
    <w:p w:rsidR="00FA4DBF" w:rsidRDefault="00FA4DBF" w14:paraId="0B3B04C5" w14:textId="0548A8A0">
      <w:pPr>
        <w:rPr>
          <w:strike/>
          <w:szCs w:val="24"/>
          <w:highlight w:val="yellow"/>
        </w:rPr>
      </w:pPr>
    </w:p>
    <w:p w:rsidRPr="00D8430B" w:rsidR="00D8430B" w:rsidP="00D8430B" w:rsidRDefault="00D8430B" w14:paraId="207DC66A" w14:textId="77777777">
      <w:pPr>
        <w:rPr>
          <w:szCs w:val="24"/>
          <w:highlight w:val="yellow"/>
        </w:rPr>
      </w:pPr>
    </w:p>
    <w:p w:rsidRPr="00D8430B" w:rsidR="00D8430B" w:rsidP="00D8430B" w:rsidRDefault="00D8430B" w14:paraId="4C9DF554" w14:textId="77777777">
      <w:pPr>
        <w:rPr>
          <w:szCs w:val="24"/>
          <w:highlight w:val="yellow"/>
        </w:rPr>
      </w:pPr>
    </w:p>
    <w:p w:rsidRPr="00D8430B" w:rsidR="00D8430B" w:rsidP="00D8430B" w:rsidRDefault="00D8430B" w14:paraId="4AB92369" w14:textId="77777777">
      <w:pPr>
        <w:rPr>
          <w:szCs w:val="24"/>
          <w:highlight w:val="yellow"/>
        </w:rPr>
      </w:pPr>
    </w:p>
    <w:p w:rsidRPr="00D8430B" w:rsidR="00D8430B" w:rsidP="00D8430B" w:rsidRDefault="00D8430B" w14:paraId="2C1C77BE" w14:textId="77777777">
      <w:pPr>
        <w:rPr>
          <w:szCs w:val="24"/>
          <w:highlight w:val="yellow"/>
        </w:rPr>
      </w:pPr>
    </w:p>
    <w:p w:rsidRPr="00D8430B" w:rsidR="00D8430B" w:rsidP="00D8430B" w:rsidRDefault="00D8430B" w14:paraId="09915478" w14:textId="77777777">
      <w:pPr>
        <w:rPr>
          <w:szCs w:val="24"/>
          <w:highlight w:val="yellow"/>
        </w:rPr>
      </w:pPr>
    </w:p>
    <w:p w:rsidRPr="00D8430B" w:rsidR="00D8430B" w:rsidP="00D8430B" w:rsidRDefault="00D8430B" w14:paraId="0075C6E0" w14:textId="77777777">
      <w:pPr>
        <w:rPr>
          <w:szCs w:val="24"/>
          <w:highlight w:val="yellow"/>
        </w:rPr>
      </w:pPr>
    </w:p>
    <w:p w:rsidRPr="00D8430B" w:rsidR="00D8430B" w:rsidP="00D8430B" w:rsidRDefault="00D8430B" w14:paraId="619853EE" w14:textId="77777777">
      <w:pPr>
        <w:rPr>
          <w:szCs w:val="24"/>
          <w:highlight w:val="yellow"/>
        </w:rPr>
      </w:pPr>
    </w:p>
    <w:p w:rsidRPr="00D8430B" w:rsidR="00D8430B" w:rsidP="00D8430B" w:rsidRDefault="00D8430B" w14:paraId="32F9B198" w14:textId="77777777">
      <w:pPr>
        <w:rPr>
          <w:szCs w:val="24"/>
          <w:highlight w:val="yellow"/>
        </w:rPr>
      </w:pPr>
    </w:p>
    <w:p w:rsidRPr="00D8430B" w:rsidR="00D8430B" w:rsidP="00D8430B" w:rsidRDefault="00D8430B" w14:paraId="2A91AA4D" w14:textId="77777777">
      <w:pPr>
        <w:rPr>
          <w:szCs w:val="24"/>
          <w:highlight w:val="yellow"/>
        </w:rPr>
      </w:pPr>
    </w:p>
    <w:p w:rsidR="00D8430B" w:rsidP="00D8430B" w:rsidRDefault="00D8430B" w14:paraId="79AF1645" w14:textId="77777777">
      <w:pPr>
        <w:rPr>
          <w:strike/>
          <w:szCs w:val="24"/>
          <w:highlight w:val="yellow"/>
        </w:rPr>
      </w:pPr>
    </w:p>
    <w:p w:rsidR="00D8430B" w:rsidP="00D8430B" w:rsidRDefault="00D8430B" w14:paraId="21C78317" w14:textId="67408261">
      <w:pPr>
        <w:rPr>
          <w:szCs w:val="24"/>
          <w:highlight w:val="yellow"/>
        </w:rPr>
      </w:pPr>
      <w:r>
        <w:rPr>
          <w:szCs w:val="24"/>
          <w:highlight w:val="yellow"/>
        </w:rPr>
        <w:br w:type="page"/>
      </w:r>
    </w:p>
    <w:p w:rsidR="00D8430B" w:rsidP="00D8430B" w:rsidRDefault="00D8430B" w14:paraId="70082F06" w14:textId="3B67FC12">
      <w:pPr>
        <w:pStyle w:val="BodyText"/>
        <w:ind w:firstLine="0"/>
        <w:jc w:val="center"/>
        <w:rPr>
          <w:szCs w:val="24"/>
          <w:u w:val="single"/>
        </w:rPr>
      </w:pPr>
      <w:r>
        <w:rPr>
          <w:szCs w:val="24"/>
          <w:u w:val="single"/>
        </w:rPr>
        <w:lastRenderedPageBreak/>
        <w:t xml:space="preserve">EXHIBIT </w:t>
      </w:r>
      <w:r w:rsidR="00437F81">
        <w:rPr>
          <w:szCs w:val="24"/>
          <w:u w:val="single"/>
        </w:rPr>
        <w:t>G</w:t>
      </w:r>
    </w:p>
    <w:p w:rsidR="00D8430B" w:rsidP="00D8430B" w:rsidRDefault="00AA338D" w14:paraId="30D6BE7F" w14:textId="45FB6150">
      <w:pPr>
        <w:jc w:val="center"/>
        <w:rPr>
          <w:szCs w:val="24"/>
        </w:rPr>
      </w:pPr>
      <w:r>
        <w:rPr>
          <w:szCs w:val="24"/>
        </w:rPr>
        <w:t xml:space="preserve">TOWN OF HEMPSTEAD </w:t>
      </w:r>
      <w:r w:rsidRPr="00AA338D">
        <w:rPr>
          <w:szCs w:val="24"/>
        </w:rPr>
        <w:t>TOWN BOARD</w:t>
      </w:r>
      <w:r>
        <w:rPr>
          <w:szCs w:val="24"/>
        </w:rPr>
        <w:t xml:space="preserve"> SEQRA DETERMINATION </w:t>
      </w:r>
    </w:p>
    <w:p w:rsidR="007B5382" w:rsidP="007B5382" w:rsidRDefault="007B5382" w14:paraId="1C31C9CF" w14:textId="77777777">
      <w:pPr>
        <w:rPr>
          <w:szCs w:val="24"/>
        </w:rPr>
      </w:pPr>
    </w:p>
    <w:sectPr w:rsidR="007B5382">
      <w:pgSz w:w="12240" w:h="15840" w:code="1"/>
      <w:pgMar w:top="1152" w:right="1440" w:bottom="1008" w:left="1728"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ACE" w:rsidRDefault="00690ACE" w14:paraId="4A23F9EF" w14:textId="77777777">
      <w:r>
        <w:separator/>
      </w:r>
    </w:p>
  </w:endnote>
  <w:endnote w:type="continuationSeparator" w:id="0">
    <w:p w:rsidR="00690ACE" w:rsidRDefault="00690ACE" w14:paraId="414EAC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DBF" w:rsidRDefault="00513EFB" w14:paraId="3657810D" w14:textId="77777777">
    <w:pPr>
      <w:pStyle w:val="Footer"/>
    </w:pPr>
    <w:r>
      <w:rPr>
        <w:noProof/>
      </w:rPr>
      <mc:AlternateContent>
        <mc:Choice Requires="wps">
          <w:drawing>
            <wp:anchor distT="0" distB="0" distL="114300" distR="114300" simplePos="0" relativeHeight="251656192" behindDoc="1" locked="0" layoutInCell="1" allowOverlap="1" wp14:editId="152575C5" wp14:anchorId="288F1BAD">
              <wp:simplePos x="0" y="0"/>
              <wp:positionH relativeFrom="margin">
                <wp:posOffset>0</wp:posOffset>
              </wp:positionH>
              <wp:positionV relativeFrom="paragraph">
                <wp:posOffset>0</wp:posOffset>
              </wp:positionV>
              <wp:extent cx="2560320" cy="159385"/>
              <wp:effectExtent l="0" t="0" r="0" b="0"/>
              <wp:wrapNone/>
              <wp:docPr id="4"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DBF" w:rsidRDefault="00FA4DBF" w14:paraId="4F2103AD" w14:textId="77777777">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88F1BAD">
              <v:stroke joinstyle="miter"/>
              <v:path gradientshapeok="t" o:connecttype="rect"/>
            </v:shapetype>
            <v:shape id="Text Box 2" style="position:absolute;margin-left:0;margin-top:0;width:201.6pt;height:1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">
              <v:textbox inset="0,0,0,0">
                <w:txbxContent>
                  <w:p w:rsidR="00FA4DBF" w:rsidRDefault="00FA4DBF" w14:paraId="4F2103AD" w14:textId="77777777">
                    <w:pPr>
                      <w:pStyle w:val="MacPacTrailer"/>
                    </w:pPr>
                  </w:p>
                </w:txbxContent>
              </v:textbox>
              <w10:wrap anchorx="margin"/>
            </v:shape>
          </w:pict>
        </mc:Fallback>
      </mc:AlternateContent>
    </w:r>
  </w:p>
</w:ftr>
</file>

<file path=word/footer2.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DBF" w:rsidRDefault="00513EFB" w14:paraId="41C8B8B9" w14:textId="77777777">
    <w:pPr>
      <w:pStyle w:val="Footer"/>
    </w:pPr>
    <w:r>
      <w:rPr>
        <w:noProof/>
      </w:rPr>
      <mc:AlternateContent>
        <mc:Choice Requires="wps">
          <w:drawing>
            <wp:anchor distT="0" distB="0" distL="114300" distR="114300" simplePos="0" relativeHeight="251657216" behindDoc="1" locked="0" layoutInCell="1" allowOverlap="1" wp14:editId="4CFDCEA3" wp14:anchorId="5923C9B3">
              <wp:simplePos x="0" y="0"/>
              <wp:positionH relativeFrom="margin">
                <wp:posOffset>0</wp:posOffset>
              </wp:positionH>
              <wp:positionV relativeFrom="paragraph">
                <wp:posOffset>0</wp:posOffset>
              </wp:positionV>
              <wp:extent cx="2560320" cy="356235"/>
              <wp:effectExtent l="0" t="0" r="0" b="0"/>
              <wp:wrapNone/>
              <wp:docPr id="3" name="Text Box 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ocID"/>
                            <w:tag w:val="DocID"/>
                            <w:id w:val="-810086136"/>
                            <w:placeholder>
                              <w:docPart w:val="DefaultPlaceholder_-1854013440"/>
                            </w:placeholder>
                          </w:sdtPr>
                          <w:sdtEndPr/>
                          <w:sdtContent>
                            <w:p w:rsidR="00FA4DBF" w:rsidRDefault="00676759" w14:paraId="776FF2D9" w14:textId="6C7898F7">
                              <w:pPr>
                                <w:pStyle w:val="MacPacTrailer"/>
                              </w:pPr>
                              <w:sdt>
                                <w:sdtPr>
                                  <w:rPr>
                                    <w:rFonts w:ascii="Book Antiqua" w:hAnsi="Book Antiqua"/>
                                    <w:sz w:val="16"/>
                                  </w:rPr>
                                  <w:alias w:val="DocID"/>
                                  <w:tag w:val="DocID"/>
                                  <w:id w:val="-1146968256"/>
                                  <w:placeholder>
                                    <w:docPart w:val="DefaultPlaceholder_-1854013440"/>
                                  </w:placeholder>
                                </w:sdtPr>
                                <w:sdtEndPr/>
                                <w:sdtContent>
                                  <w:sdt>
                                    <w:sdtPr>
                                      <w:rPr>
                                        <w:rFonts w:ascii="Book Antiqua" w:hAnsi="Book Antiqua"/>
                                        <w:sz w:val="16"/>
                                      </w:rPr>
                                      <w:alias w:val="DocID"/>
                                      <w:tag w:val="DocID"/>
                                      <w:id w:val="-1845780834"/>
                                      <w:placeholder>
                                        <w:docPart w:val="DefaultPlaceholder_-1854013440"/>
                                      </w:placeholder>
                                    </w:sdtPr>
                                    <w:sdtEndPr/>
                                    <w:sdtContent>
                                      <w:sdt>
                                        <w:sdtPr>
                                          <w:rPr>
                                            <w:rFonts w:ascii="Book Antiqua" w:hAnsi="Book Antiqua"/>
                                            <w:sz w:val="16"/>
                                          </w:rPr>
                                          <w:alias w:val="DocID"/>
                                          <w:tag w:val="DocID"/>
                                          <w:id w:val="-515766113"/>
                                          <w:placeholder>
                                            <w:docPart w:val="DefaultPlaceholder_-1854013440"/>
                                          </w:placeholder>
                                        </w:sdtPr>
                                        <w:sdtEndPr/>
                                        <w:sdtContent>
                                          <w:r w:rsidR="00513EFB">
                                            <w:rPr>
                                              <w:rFonts w:ascii="Book Antiqua" w:hAnsi="Book Antiqua"/>
                                              <w:sz w:val="16"/>
                                            </w:rPr>
                                            <w:t>Doc #</w:t>
                                          </w:r>
                                          <w:r w:rsidR="008C78E5">
                                            <w:rPr>
                                              <w:rFonts w:ascii="Book Antiqua" w:hAnsi="Book Antiqua"/>
                                              <w:sz w:val="16"/>
                                            </w:rPr>
                                            <w:t>1949014</w:t>
                                          </w:r>
                                          <w:r w:rsidR="00513EFB">
                                            <w:rPr>
                                              <w:rFonts w:ascii="Book Antiqua" w:hAnsi="Book Antiqua"/>
                                              <w:sz w:val="16"/>
                                            </w:rPr>
                                            <w:t>.</w:t>
                                          </w:r>
                                          <w:r>
                                            <w:rPr>
                                              <w:rFonts w:ascii="Book Antiqua" w:hAnsi="Book Antiqua"/>
                                              <w:sz w:val="16"/>
                                            </w:rPr>
                                            <w:t>9</w:t>
                                          </w:r>
                                        </w:sdtContent>
                                      </w:sdt>
                                    </w:sdtContent>
                                  </w:sdt>
                                </w:sdtContent>
                              </w:sdt>
                            </w:p>
                          </w:sdtContent>
                        </w:sdt>
                        <w:p w:rsidR="00FA4DBF" w:rsidRDefault="00FA4DBF" w14:paraId="1CC45D81" w14:textId="77777777">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923C9B3">
              <v:stroke joinstyle="miter"/>
              <v:path gradientshapeok="t" o:connecttype="rect"/>
            </v:shapetype>
            <v:shape id="Text Box 1" style="position:absolute;margin-left:0;margin-top:0;width:201.6pt;height:2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">
              <v:textbox inset="0,0,0,0">
                <w:txbxContent>
                  <w:sdt>
                    <w:sdtPr>
                      <w:alias w:val="DocID"/>
                      <w:tag w:val="DocID"/>
                      <w:id w:val="-810086136"/>
                      <w:placeholder>
                        <w:docPart w:val="DefaultPlaceholder_-1854013440"/>
                      </w:placeholder>
                    </w:sdtPr>
                    <w:sdtEndPr/>
                    <w:sdtContent>
                      <w:p w:rsidR="00FA4DBF" w:rsidRDefault="00676759" w14:paraId="776FF2D9" w14:textId="6C7898F7">
                        <w:pPr>
                          <w:pStyle w:val="MacPacTrailer"/>
                        </w:pPr>
                        <w:sdt>
                          <w:sdtPr>
                            <w:rPr>
                              <w:rFonts w:ascii="Book Antiqua" w:hAnsi="Book Antiqua"/>
                              <w:sz w:val="16"/>
                            </w:rPr>
                            <w:alias w:val="DocID"/>
                            <w:tag w:val="DocID"/>
                            <w:id w:val="-1146968256"/>
                            <w:placeholder>
                              <w:docPart w:val="DefaultPlaceholder_-1854013440"/>
                            </w:placeholder>
                          </w:sdtPr>
                          <w:sdtEndPr/>
                          <w:sdtContent>
                            <w:sdt>
                              <w:sdtPr>
                                <w:rPr>
                                  <w:rFonts w:ascii="Book Antiqua" w:hAnsi="Book Antiqua"/>
                                  <w:sz w:val="16"/>
                                </w:rPr>
                                <w:alias w:val="DocID"/>
                                <w:tag w:val="DocID"/>
                                <w:id w:val="-1845780834"/>
                                <w:placeholder>
                                  <w:docPart w:val="DefaultPlaceholder_-1854013440"/>
                                </w:placeholder>
                              </w:sdtPr>
                              <w:sdtEndPr/>
                              <w:sdtContent>
                                <w:sdt>
                                  <w:sdtPr>
                                    <w:rPr>
                                      <w:rFonts w:ascii="Book Antiqua" w:hAnsi="Book Antiqua"/>
                                      <w:sz w:val="16"/>
                                    </w:rPr>
                                    <w:alias w:val="DocID"/>
                                    <w:tag w:val="DocID"/>
                                    <w:id w:val="-515766113"/>
                                    <w:placeholder>
                                      <w:docPart w:val="DefaultPlaceholder_-1854013440"/>
                                    </w:placeholder>
                                  </w:sdtPr>
                                  <w:sdtEndPr/>
                                  <w:sdtContent>
                                    <w:r w:rsidR="00513EFB">
                                      <w:rPr>
                                        <w:rFonts w:ascii="Book Antiqua" w:hAnsi="Book Antiqua"/>
                                        <w:sz w:val="16"/>
                                      </w:rPr>
                                      <w:t>Doc #</w:t>
                                    </w:r>
                                    <w:r w:rsidR="008C78E5">
                                      <w:rPr>
                                        <w:rFonts w:ascii="Book Antiqua" w:hAnsi="Book Antiqua"/>
                                        <w:sz w:val="16"/>
                                      </w:rPr>
                                      <w:t>1949014</w:t>
                                    </w:r>
                                    <w:r w:rsidR="00513EFB">
                                      <w:rPr>
                                        <w:rFonts w:ascii="Book Antiqua" w:hAnsi="Book Antiqua"/>
                                        <w:sz w:val="16"/>
                                      </w:rPr>
                                      <w:t>.</w:t>
                                    </w:r>
                                    <w:r>
                                      <w:rPr>
                                        <w:rFonts w:ascii="Book Antiqua" w:hAnsi="Book Antiqua"/>
                                        <w:sz w:val="16"/>
                                      </w:rPr>
                                      <w:t>9</w:t>
                                    </w:r>
                                  </w:sdtContent>
                                </w:sdt>
                              </w:sdtContent>
                            </w:sdt>
                          </w:sdtContent>
                        </w:sdt>
                      </w:p>
                    </w:sdtContent>
                  </w:sdt>
                  <w:p w:rsidR="00FA4DBF" w:rsidRDefault="00FA4DBF" w14:paraId="1CC45D81" w14:textId="77777777">
                    <w:pPr>
                      <w:pStyle w:val="MacPacTrailer"/>
                    </w:pPr>
                  </w:p>
                </w:txbxContent>
              </v:textbox>
              <w10:wrap anchorx="margin"/>
            </v:shape>
          </w:pict>
        </mc:Fallback>
      </mc:AlternateContent>
    </w:r>
  </w:p>
</w:ftr>
</file>

<file path=word/footer3.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DBF" w:rsidRDefault="00513EFB" w14:paraId="1AAD1873" w14:textId="77777777">
    <w:pPr>
      <w:pStyle w:val="Footer"/>
    </w:pPr>
    <w:r>
      <w:rPr>
        <w:noProof/>
      </w:rPr>
      <mc:AlternateContent>
        <mc:Choice Requires="wps">
          <w:drawing>
            <wp:anchor distT="0" distB="0" distL="114300" distR="114300" simplePos="0" relativeHeight="251658240" behindDoc="1" locked="0" layoutInCell="1" allowOverlap="1" wp14:editId="0996F032" wp14:anchorId="3FED31A9">
              <wp:simplePos x="0" y="0"/>
              <wp:positionH relativeFrom="margin">
                <wp:posOffset>0</wp:posOffset>
              </wp:positionH>
              <wp:positionV relativeFrom="paragraph">
                <wp:posOffset>0</wp:posOffset>
              </wp:positionV>
              <wp:extent cx="2560320" cy="356235"/>
              <wp:effectExtent l="0" t="0" r="0" b="0"/>
              <wp:wrapNone/>
              <wp:docPr id="2" name="Text Box 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DBF" w:rsidRDefault="00FA4DBF" w14:paraId="2A667566" w14:textId="77777777">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FED31A9">
              <v:stroke joinstyle="miter"/>
              <v:path gradientshapeok="t" o:connecttype="rect"/>
            </v:shapetype>
            <v:shape id="_x0000_s1028" style="position:absolute;margin-left:0;margin-top:0;width:201.6pt;height:28.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">
              <v:textbox inset="0,0,0,0">
                <w:txbxContent>
                  <w:p w:rsidR="00FA4DBF" w:rsidRDefault="00FA4DBF" w14:paraId="2A667566" w14:textId="77777777">
                    <w:pPr>
                      <w:pStyle w:val="MacPacTrailer"/>
                    </w:pPr>
                  </w:p>
                </w:txbxContent>
              </v:textbox>
              <w10:wrap anchorx="margin"/>
            </v:shape>
          </w:pict>
        </mc:Fallback>
      </mc:AlternateContent>
    </w:r>
  </w:p>
</w:ftr>
</file>

<file path=word/footer4.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DBF" w:rsidRDefault="00513EFB" w14:paraId="0F7147DA" w14:textId="77777777">
    <w:pPr>
      <w:pStyle w:val="Footer"/>
    </w:pPr>
    <w:r>
      <w:rPr>
        <w:noProof/>
      </w:rPr>
      <mc:AlternateContent>
        <mc:Choice Requires="wps">
          <w:drawing>
            <wp:anchor distT="0" distB="0" distL="114300" distR="114300" simplePos="0" relativeHeight="251659264" behindDoc="1" locked="0" layoutInCell="1" allowOverlap="1" wp14:editId="7A05E4A2" wp14:anchorId="7E8972CB">
              <wp:simplePos x="0" y="0"/>
              <wp:positionH relativeFrom="margin">
                <wp:posOffset>0</wp:posOffset>
              </wp:positionH>
              <wp:positionV relativeFrom="paragraph">
                <wp:posOffset>0</wp:posOffset>
              </wp:positionV>
              <wp:extent cx="2560320" cy="356235"/>
              <wp:effectExtent l="0" t="0" r="0" b="0"/>
              <wp:wrapNone/>
              <wp:docPr id="1" name="Text Box 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DBF" w:rsidRDefault="00FA4DBF" w14:paraId="574707E7" w14:textId="77777777">
                          <w:pPr>
                            <w:pStyle w:val="MacPacTrailer"/>
                          </w:pPr>
                        </w:p>
                        <w:p w:rsidR="00FA4DBF" w:rsidRDefault="00FA4DBF" w14:paraId="5B070B99" w14:textId="77777777">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E8972CB">
              <v:stroke joinstyle="miter"/>
              <v:path gradientshapeok="t" o:connecttype="rect"/>
            </v:shapetype>
            <v:shape id="_x0000_s1029" style="position:absolute;margin-left:0;margin-top:0;width:201.6pt;height:28.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">
              <v:textbox inset="0,0,0,0">
                <w:txbxContent>
                  <w:p w:rsidR="00FA4DBF" w:rsidRDefault="00FA4DBF" w14:paraId="574707E7" w14:textId="77777777">
                    <w:pPr>
                      <w:pStyle w:val="MacPacTrailer"/>
                    </w:pPr>
                  </w:p>
                  <w:p w:rsidR="00FA4DBF" w:rsidRDefault="00FA4DBF" w14:paraId="5B070B99" w14:textId="77777777">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ACE" w:rsidRDefault="00690ACE" w14:paraId="3A18ED51" w14:textId="77777777">
      <w:r>
        <w:separator/>
      </w:r>
    </w:p>
  </w:footnote>
  <w:footnote w:type="continuationSeparator" w:id="0">
    <w:p w:rsidR="00690ACE" w:rsidRDefault="00690ACE" w14:paraId="7D8C5FA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2421DC0"/>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5164BF9"/>
    <w:multiLevelType w:val="hybridMultilevel"/>
    <w:tmpl w:val="34701824"/>
    <w:lvl w:ilvl="0" w:tplc="83EC582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16956"/>
    <w:multiLevelType w:val="hybridMultilevel"/>
    <w:tmpl w:val="AE72D846"/>
    <w:lvl w:ilvl="0" w:tplc="50BC9C80">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 w15:restartNumberingAfterBreak="0">
    <w:nsid w:val="11673F81"/>
    <w:multiLevelType w:val="hybridMultilevel"/>
    <w:tmpl w:val="E39C9BBE"/>
    <w:lvl w:ilvl="0" w:tplc="50BC9C80">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2FD2155"/>
    <w:multiLevelType w:val="singleLevel"/>
    <w:tmpl w:val="83B2E73C"/>
    <w:lvl w:ilvl="0">
      <w:start w:val="1"/>
      <w:numFmt w:val="lowerLetter"/>
      <w:pStyle w:val="List2"/>
      <w:lvlText w:val="(%1)"/>
      <w:lvlJc w:val="left"/>
      <w:pPr>
        <w:tabs>
          <w:tab w:val="num" w:pos="1080"/>
        </w:tabs>
        <w:ind w:left="0" w:firstLine="720"/>
      </w:pPr>
    </w:lvl>
  </w:abstractNum>
  <w:abstractNum w:abstractNumId="6" w15:restartNumberingAfterBreak="0">
    <w:nsid w:val="130B333D"/>
    <w:multiLevelType w:val="hybridMultilevel"/>
    <w:tmpl w:val="5B0C7256"/>
    <w:lvl w:ilvl="0" w:tplc="A4B428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AE6329"/>
    <w:multiLevelType w:val="hybridMultilevel"/>
    <w:tmpl w:val="B8064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0E1B2E"/>
    <w:multiLevelType w:val="hybridMultilevel"/>
    <w:tmpl w:val="EA22A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F56A9"/>
    <w:multiLevelType w:val="hybridMultilevel"/>
    <w:tmpl w:val="FC70F1D6"/>
    <w:lvl w:ilvl="0" w:tplc="C272480A">
      <w:start w:val="1"/>
      <w:numFmt w:val="decimal"/>
      <w:lvlText w:val="%1"/>
      <w:lvlJc w:val="left"/>
      <w:pPr>
        <w:tabs>
          <w:tab w:val="num" w:pos="3240"/>
        </w:tabs>
        <w:ind w:left="3240" w:hanging="28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51713BB"/>
    <w:multiLevelType w:val="hybridMultilevel"/>
    <w:tmpl w:val="43268B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DE1987"/>
    <w:multiLevelType w:val="hybridMultilevel"/>
    <w:tmpl w:val="5B0C7256"/>
    <w:lvl w:ilvl="0" w:tplc="A4B428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D62416E"/>
    <w:multiLevelType w:val="hybridMultilevel"/>
    <w:tmpl w:val="FC70F1D6"/>
    <w:lvl w:ilvl="0" w:tplc="C272480A">
      <w:start w:val="1"/>
      <w:numFmt w:val="decimal"/>
      <w:lvlText w:val="%1"/>
      <w:lvlJc w:val="left"/>
      <w:pPr>
        <w:tabs>
          <w:tab w:val="num" w:pos="3240"/>
        </w:tabs>
        <w:ind w:left="3240" w:hanging="28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0DE6B42"/>
    <w:multiLevelType w:val="multilevel"/>
    <w:tmpl w:val="29B439E4"/>
    <w:lvl w:ilvl="0">
      <w:start w:val="1"/>
      <w:numFmt w:val="upperRoman"/>
      <w:pStyle w:val="Heading1"/>
      <w:suff w:val="nothing"/>
      <w:lvlText w:val="ARTICLE %1"/>
      <w:lvlJc w:val="left"/>
      <w:pPr>
        <w:ind w:left="0" w:firstLine="0"/>
      </w:pPr>
      <w:rPr>
        <w:rFonts w:ascii="Times New Roman" w:hAnsi="Times New Roman" w:hint="default"/>
        <w:b w:val="0"/>
        <w:i w:val="0"/>
        <w:caps/>
        <w:sz w:val="24"/>
      </w:rPr>
    </w:lvl>
    <w:lvl w:ilvl="1">
      <w:start w:val="1"/>
      <w:numFmt w:val="decimal"/>
      <w:pStyle w:val="Heading2"/>
      <w:isLgl/>
      <w:lvlText w:val="Section %1.%2"/>
      <w:lvlJc w:val="left"/>
      <w:pPr>
        <w:tabs>
          <w:tab w:val="num" w:pos="1800"/>
        </w:tabs>
        <w:ind w:left="0" w:firstLine="720"/>
      </w:pPr>
      <w:rPr>
        <w:rFonts w:ascii="Times New Roman" w:hAnsi="Times New Roman" w:hint="default"/>
        <w:b w:val="0"/>
        <w:i w:val="0"/>
        <w:caps w:val="0"/>
        <w:sz w:val="24"/>
        <w:u w:val="none"/>
      </w:rPr>
    </w:lvl>
    <w:lvl w:ilvl="2">
      <w:start w:val="1"/>
      <w:numFmt w:val="lowerLetter"/>
      <w:pStyle w:val="Heading3"/>
      <w:lvlText w:val="(%3)"/>
      <w:lvlJc w:val="left"/>
      <w:pPr>
        <w:tabs>
          <w:tab w:val="num" w:pos="1080"/>
        </w:tabs>
        <w:ind w:left="0" w:firstLine="720"/>
      </w:pPr>
    </w:lvl>
    <w:lvl w:ilvl="3">
      <w:start w:val="1"/>
      <w:numFmt w:val="lowerRoman"/>
      <w:pStyle w:val="Heading4"/>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20F35F1"/>
    <w:multiLevelType w:val="hybridMultilevel"/>
    <w:tmpl w:val="373EC164"/>
    <w:lvl w:ilvl="0" w:tplc="50BC9C8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A72B2"/>
    <w:multiLevelType w:val="hybridMultilevel"/>
    <w:tmpl w:val="E8A6EB8C"/>
    <w:lvl w:ilvl="0" w:tplc="0409000F">
      <w:start w:val="1"/>
      <w:numFmt w:val="decimal"/>
      <w:lvlText w:val="%1."/>
      <w:lvlJc w:val="left"/>
      <w:pPr>
        <w:ind w:left="720" w:hanging="360"/>
      </w:pPr>
    </w:lvl>
    <w:lvl w:ilvl="1" w:tplc="83EC582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A3A11"/>
    <w:multiLevelType w:val="hybridMultilevel"/>
    <w:tmpl w:val="9AE0F2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7807F5"/>
    <w:multiLevelType w:val="hybridMultilevel"/>
    <w:tmpl w:val="FC70F1D6"/>
    <w:lvl w:ilvl="0" w:tplc="C272480A">
      <w:start w:val="1"/>
      <w:numFmt w:val="decimal"/>
      <w:lvlText w:val="%1"/>
      <w:lvlJc w:val="left"/>
      <w:pPr>
        <w:tabs>
          <w:tab w:val="num" w:pos="3240"/>
        </w:tabs>
        <w:ind w:left="3240" w:hanging="28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D9558CD"/>
    <w:multiLevelType w:val="hybridMultilevel"/>
    <w:tmpl w:val="FC70F1D6"/>
    <w:lvl w:ilvl="0" w:tplc="C272480A">
      <w:start w:val="1"/>
      <w:numFmt w:val="decimal"/>
      <w:lvlText w:val="%1"/>
      <w:lvlJc w:val="left"/>
      <w:pPr>
        <w:tabs>
          <w:tab w:val="num" w:pos="3240"/>
        </w:tabs>
        <w:ind w:left="3240" w:hanging="28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0A26B2E"/>
    <w:multiLevelType w:val="hybridMultilevel"/>
    <w:tmpl w:val="64D6E1D8"/>
    <w:lvl w:ilvl="0" w:tplc="C9102226">
      <w:start w:val="1"/>
      <w:numFmt w:val="upperLetter"/>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8926B72"/>
    <w:multiLevelType w:val="multilevel"/>
    <w:tmpl w:val="359047E8"/>
    <w:lvl w:ilvl="0">
      <w:start w:val="1"/>
      <w:numFmt w:val="decimal"/>
      <w:pStyle w:val="OutlineNumbered1"/>
      <w:lvlText w:val="Section %1."/>
      <w:lvlJc w:val="left"/>
      <w:pPr>
        <w:tabs>
          <w:tab w:val="num" w:pos="2430"/>
        </w:tabs>
        <w:ind w:left="270" w:firstLine="720"/>
      </w:pPr>
      <w:rPr>
        <w:rFonts w:ascii="Times New Roman" w:hAnsi="Times New Roman" w:hint="default"/>
        <w:b w:val="0"/>
        <w:i w:val="0"/>
        <w:sz w:val="24"/>
        <w:u w:val="single"/>
      </w:rPr>
    </w:lvl>
    <w:lvl w:ilvl="1">
      <w:start w:val="1"/>
      <w:numFmt w:val="lowerLetter"/>
      <w:pStyle w:val="OutlineNumbered2"/>
      <w:lvlText w:val="(%2)"/>
      <w:lvlJc w:val="left"/>
      <w:pPr>
        <w:tabs>
          <w:tab w:val="num" w:pos="990"/>
        </w:tabs>
        <w:ind w:left="990" w:hanging="720"/>
      </w:pPr>
      <w:rPr>
        <w:rFonts w:ascii="Times New Roman" w:hAnsi="Times New Roman" w:hint="default"/>
        <w:b w:val="0"/>
        <w:i w:val="0"/>
        <w:sz w:val="24"/>
        <w:u w:val="none"/>
      </w:rPr>
    </w:lvl>
    <w:lvl w:ilvl="2">
      <w:start w:val="1"/>
      <w:numFmt w:val="decimal"/>
      <w:lvlText w:val="%1.%2.%3"/>
      <w:lvlJc w:val="left"/>
      <w:pPr>
        <w:tabs>
          <w:tab w:val="num" w:pos="1710"/>
        </w:tabs>
        <w:ind w:left="1710" w:hanging="720"/>
      </w:pPr>
      <w:rPr>
        <w:rFonts w:ascii="Times New Roman" w:hAnsi="Times New Roman" w:hint="default"/>
        <w:b w:val="0"/>
        <w:i w:val="0"/>
        <w:sz w:val="24"/>
      </w:rPr>
    </w:lvl>
    <w:lvl w:ilvl="3">
      <w:start w:val="1"/>
      <w:numFmt w:val="decimal"/>
      <w:lvlText w:val="%1.%2.%3.%4"/>
      <w:lvlJc w:val="left"/>
      <w:pPr>
        <w:tabs>
          <w:tab w:val="num" w:pos="1134"/>
        </w:tabs>
        <w:ind w:left="1134" w:hanging="864"/>
      </w:pPr>
    </w:lvl>
    <w:lvl w:ilvl="4">
      <w:start w:val="1"/>
      <w:numFmt w:val="decimal"/>
      <w:lvlText w:val="%1.%2.%3.%4.%5"/>
      <w:lvlJc w:val="left"/>
      <w:pPr>
        <w:tabs>
          <w:tab w:val="num" w:pos="1278"/>
        </w:tabs>
        <w:ind w:left="1278" w:hanging="1008"/>
      </w:pPr>
    </w:lvl>
    <w:lvl w:ilvl="5">
      <w:start w:val="1"/>
      <w:numFmt w:val="decimal"/>
      <w:lvlText w:val="%1.%2.%3.%4.%5.%6"/>
      <w:lvlJc w:val="left"/>
      <w:pPr>
        <w:tabs>
          <w:tab w:val="num" w:pos="1422"/>
        </w:tabs>
        <w:ind w:left="1422" w:hanging="1152"/>
      </w:pPr>
    </w:lvl>
    <w:lvl w:ilvl="6">
      <w:start w:val="1"/>
      <w:numFmt w:val="decimal"/>
      <w:lvlText w:val="%1.%2.%3.%4.%5.%6.%7"/>
      <w:lvlJc w:val="left"/>
      <w:pPr>
        <w:tabs>
          <w:tab w:val="num" w:pos="1566"/>
        </w:tabs>
        <w:ind w:left="1566" w:hanging="1296"/>
      </w:pPr>
    </w:lvl>
    <w:lvl w:ilvl="7">
      <w:start w:val="1"/>
      <w:numFmt w:val="decimal"/>
      <w:lvlText w:val="%1.%2.%3.%4.%5.%6.%7.%8"/>
      <w:lvlJc w:val="left"/>
      <w:pPr>
        <w:tabs>
          <w:tab w:val="num" w:pos="1710"/>
        </w:tabs>
        <w:ind w:left="1710" w:hanging="1440"/>
      </w:pPr>
    </w:lvl>
    <w:lvl w:ilvl="8">
      <w:start w:val="1"/>
      <w:numFmt w:val="decimal"/>
      <w:lvlText w:val="%1.%2.%3.%4.%5.%6.%7.%8.%9"/>
      <w:lvlJc w:val="left"/>
      <w:pPr>
        <w:tabs>
          <w:tab w:val="num" w:pos="1854"/>
        </w:tabs>
        <w:ind w:left="1854" w:hanging="1584"/>
      </w:pPr>
    </w:lvl>
  </w:abstractNum>
  <w:abstractNum w:abstractNumId="21" w15:restartNumberingAfterBreak="0">
    <w:nsid w:val="79EB785E"/>
    <w:multiLevelType w:val="hybridMultilevel"/>
    <w:tmpl w:val="3928169A"/>
    <w:lvl w:ilvl="0" w:tplc="0409000F">
      <w:start w:val="1"/>
      <w:numFmt w:val="decimal"/>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835878677">
    <w:abstractNumId w:val="5"/>
  </w:num>
  <w:num w:numId="2" w16cid:durableId="1310524451">
    <w:abstractNumId w:val="13"/>
  </w:num>
  <w:num w:numId="3" w16cid:durableId="799688294">
    <w:abstractNumId w:val="20"/>
  </w:num>
  <w:num w:numId="4" w16cid:durableId="502552889">
    <w:abstractNumId w:val="9"/>
  </w:num>
  <w:num w:numId="5" w16cid:durableId="1233657320">
    <w:abstractNumId w:val="18"/>
  </w:num>
  <w:num w:numId="6" w16cid:durableId="1207179447">
    <w:abstractNumId w:val="17"/>
  </w:num>
  <w:num w:numId="7" w16cid:durableId="373777492">
    <w:abstractNumId w:val="12"/>
  </w:num>
  <w:num w:numId="8" w16cid:durableId="531042590">
    <w:abstractNumId w:val="0"/>
  </w:num>
  <w:num w:numId="9" w16cid:durableId="363917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57027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281848">
    <w:abstractNumId w:val="3"/>
  </w:num>
  <w:num w:numId="12" w16cid:durableId="790637795">
    <w:abstractNumId w:val="6"/>
  </w:num>
  <w:num w:numId="13" w16cid:durableId="1423987279">
    <w:abstractNumId w:val="3"/>
  </w:num>
  <w:num w:numId="14" w16cid:durableId="1164206610">
    <w:abstractNumId w:val="11"/>
  </w:num>
  <w:num w:numId="15" w16cid:durableId="1437752676">
    <w:abstractNumId w:val="1"/>
    <w:lvlOverride w:ilvl="0">
      <w:startOverride w:val="1"/>
      <w:lvl w:ilvl="0">
        <w:start w:val="1"/>
        <w:numFmt w:val="upperLetter"/>
        <w:lvlText w:val="(%1)"/>
        <w:lvlJc w:val="left"/>
      </w:lvl>
    </w:lvlOverride>
    <w:lvlOverride w:ilvl="1">
      <w:startOverride w:val="7"/>
      <w:lvl w:ilvl="1">
        <w:start w:val="7"/>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6" w16cid:durableId="1184786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2102942">
    <w:abstractNumId w:val="15"/>
  </w:num>
  <w:num w:numId="18" w16cid:durableId="2035418468">
    <w:abstractNumId w:val="2"/>
  </w:num>
  <w:num w:numId="19" w16cid:durableId="7600320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8281998">
    <w:abstractNumId w:val="4"/>
  </w:num>
  <w:num w:numId="21" w16cid:durableId="1473595465">
    <w:abstractNumId w:val="19"/>
  </w:num>
  <w:num w:numId="22" w16cid:durableId="1172797198">
    <w:abstractNumId w:val="14"/>
  </w:num>
  <w:num w:numId="23" w16cid:durableId="879822394">
    <w:abstractNumId w:val="8"/>
  </w:num>
  <w:num w:numId="24" w16cid:durableId="1316453992">
    <w:abstractNumId w:val="10"/>
  </w:num>
  <w:num w:numId="25" w16cid:durableId="247345305">
    <w:abstractNumId w:val="7"/>
  </w:num>
  <w:num w:numId="26" w16cid:durableId="51861839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BF"/>
    <w:rsid w:val="00020549"/>
    <w:rsid w:val="00025A86"/>
    <w:rsid w:val="000347F9"/>
    <w:rsid w:val="00066B6A"/>
    <w:rsid w:val="000B45EF"/>
    <w:rsid w:val="000E2A8E"/>
    <w:rsid w:val="001737EA"/>
    <w:rsid w:val="00174C85"/>
    <w:rsid w:val="001A5CA8"/>
    <w:rsid w:val="001C0FCA"/>
    <w:rsid w:val="001D06D6"/>
    <w:rsid w:val="001D3477"/>
    <w:rsid w:val="001F3BE8"/>
    <w:rsid w:val="0022197C"/>
    <w:rsid w:val="002720B9"/>
    <w:rsid w:val="0033181F"/>
    <w:rsid w:val="00365D00"/>
    <w:rsid w:val="003825C2"/>
    <w:rsid w:val="003E018B"/>
    <w:rsid w:val="003F0DD2"/>
    <w:rsid w:val="004071B1"/>
    <w:rsid w:val="00421C04"/>
    <w:rsid w:val="00437F81"/>
    <w:rsid w:val="00487605"/>
    <w:rsid w:val="004A1017"/>
    <w:rsid w:val="004C4211"/>
    <w:rsid w:val="004C4AD9"/>
    <w:rsid w:val="004C52C3"/>
    <w:rsid w:val="004F0483"/>
    <w:rsid w:val="00513EFB"/>
    <w:rsid w:val="00524452"/>
    <w:rsid w:val="00526BA1"/>
    <w:rsid w:val="005839D3"/>
    <w:rsid w:val="0058569B"/>
    <w:rsid w:val="005C3DD1"/>
    <w:rsid w:val="005E0D8A"/>
    <w:rsid w:val="005F0961"/>
    <w:rsid w:val="00604D95"/>
    <w:rsid w:val="006430FC"/>
    <w:rsid w:val="00647DBA"/>
    <w:rsid w:val="00664AF4"/>
    <w:rsid w:val="006706B1"/>
    <w:rsid w:val="00676759"/>
    <w:rsid w:val="00690027"/>
    <w:rsid w:val="00690ACE"/>
    <w:rsid w:val="00697B8C"/>
    <w:rsid w:val="006D6C7B"/>
    <w:rsid w:val="00723076"/>
    <w:rsid w:val="00784E5A"/>
    <w:rsid w:val="007B2187"/>
    <w:rsid w:val="007B5382"/>
    <w:rsid w:val="007D0035"/>
    <w:rsid w:val="007E21EC"/>
    <w:rsid w:val="007F3EF7"/>
    <w:rsid w:val="00843106"/>
    <w:rsid w:val="00845346"/>
    <w:rsid w:val="00855DC2"/>
    <w:rsid w:val="00884AF3"/>
    <w:rsid w:val="008B40C2"/>
    <w:rsid w:val="008C1549"/>
    <w:rsid w:val="008C1567"/>
    <w:rsid w:val="008C4267"/>
    <w:rsid w:val="008C78E5"/>
    <w:rsid w:val="008D6571"/>
    <w:rsid w:val="008E30B1"/>
    <w:rsid w:val="009273C4"/>
    <w:rsid w:val="009331A9"/>
    <w:rsid w:val="0098616B"/>
    <w:rsid w:val="009A4A74"/>
    <w:rsid w:val="00A0600B"/>
    <w:rsid w:val="00A07A62"/>
    <w:rsid w:val="00A1389E"/>
    <w:rsid w:val="00A34B4E"/>
    <w:rsid w:val="00A54A42"/>
    <w:rsid w:val="00AA338D"/>
    <w:rsid w:val="00B0244A"/>
    <w:rsid w:val="00B053ED"/>
    <w:rsid w:val="00B46C10"/>
    <w:rsid w:val="00B6519F"/>
    <w:rsid w:val="00B86344"/>
    <w:rsid w:val="00BC76B1"/>
    <w:rsid w:val="00BD06A2"/>
    <w:rsid w:val="00C07221"/>
    <w:rsid w:val="00C12D22"/>
    <w:rsid w:val="00C2445A"/>
    <w:rsid w:val="00C4097B"/>
    <w:rsid w:val="00C47F84"/>
    <w:rsid w:val="00C64302"/>
    <w:rsid w:val="00C92BEE"/>
    <w:rsid w:val="00C9779E"/>
    <w:rsid w:val="00CA0550"/>
    <w:rsid w:val="00D70578"/>
    <w:rsid w:val="00D71800"/>
    <w:rsid w:val="00D75A6B"/>
    <w:rsid w:val="00D8430B"/>
    <w:rsid w:val="00DD2C49"/>
    <w:rsid w:val="00DF03F8"/>
    <w:rsid w:val="00E00214"/>
    <w:rsid w:val="00E5416F"/>
    <w:rsid w:val="00E56662"/>
    <w:rsid w:val="00EB3E48"/>
    <w:rsid w:val="00EE1A41"/>
    <w:rsid w:val="00F27588"/>
    <w:rsid w:val="00F277EA"/>
    <w:rsid w:val="00F63D96"/>
    <w:rsid w:val="00F678EC"/>
    <w:rsid w:val="00F70901"/>
    <w:rsid w:val="00F93D44"/>
    <w:rsid w:val="00FA4DBF"/>
    <w:rsid w:val="00FA5201"/>
    <w:rsid w:val="00FA7418"/>
    <w:rsid w:val="00FC4ED1"/>
    <w:rsid w:val="00FF3DDB"/>
    <w:rsid w:val="00FF402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8CE29F"/>
  <w15:docId w15:val="{2ACF53F3-A336-48DA-908D-FEA5733B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link w:val="Heading1Char"/>
    <w:qFormat/>
    <w:pPr>
      <w:keepNext/>
      <w:numPr>
        <w:numId w:val="2"/>
      </w:numPr>
      <w:spacing w:after="240"/>
      <w:jc w:val="center"/>
      <w:outlineLvl w:val="0"/>
    </w:pPr>
    <w:rPr>
      <w:caps/>
    </w:rPr>
  </w:style>
  <w:style w:type="paragraph" w:styleId="Heading2">
    <w:name w:val="heading 2"/>
    <w:basedOn w:val="Normal"/>
    <w:next w:val="Normal"/>
    <w:qFormat/>
    <w:pPr>
      <w:numPr>
        <w:ilvl w:val="1"/>
        <w:numId w:val="2"/>
      </w:numPr>
      <w:tabs>
        <w:tab w:val="clear" w:pos="1800"/>
        <w:tab w:val="left" w:pos="2160"/>
      </w:tabs>
      <w:spacing w:after="240"/>
      <w:jc w:val="both"/>
      <w:outlineLvl w:val="1"/>
    </w:pPr>
    <w:rPr>
      <w:u w:val="single"/>
    </w:rPr>
  </w:style>
  <w:style w:type="paragraph" w:styleId="Heading3">
    <w:name w:val="heading 3"/>
    <w:basedOn w:val="Normal"/>
    <w:next w:val="Normal"/>
    <w:qFormat/>
    <w:pPr>
      <w:numPr>
        <w:ilvl w:val="2"/>
        <w:numId w:val="2"/>
      </w:numPr>
      <w:tabs>
        <w:tab w:val="clear" w:pos="1080"/>
        <w:tab w:val="left" w:pos="1440"/>
      </w:tabs>
      <w:spacing w:after="240"/>
      <w:jc w:val="both"/>
      <w:outlineLvl w:val="2"/>
    </w:pPr>
  </w:style>
  <w:style w:type="paragraph" w:styleId="Heading4">
    <w:name w:val="heading 4"/>
    <w:basedOn w:val="Normal"/>
    <w:next w:val="Normal"/>
    <w:qFormat/>
    <w:pPr>
      <w:numPr>
        <w:ilvl w:val="3"/>
        <w:numId w:val="2"/>
      </w:numPr>
      <w:spacing w:after="240"/>
      <w:ind w:left="1440" w:firstLine="0"/>
      <w:jc w:val="both"/>
      <w:outlineLvl w:val="3"/>
    </w:pPr>
  </w:style>
  <w:style w:type="paragraph" w:styleId="Heading5">
    <w:name w:val="heading 5"/>
    <w:basedOn w:val="Normal"/>
    <w:next w:val="Normal"/>
    <w:link w:val="Heading5Char"/>
    <w:uiPriority w:val="9"/>
    <w:unhideWhenUsed/>
    <w:qFormat/>
    <w:pPr>
      <w:spacing w:before="240" w:after="60"/>
      <w:outlineLvl w:val="4"/>
    </w:pPr>
    <w:rPr>
      <w:rFonts w:asciiTheme="minorHAnsi" w:hAnsiTheme="minorHAnsi" w:eastAsiaTheme="minorEastAsia"/>
      <w:b/>
      <w:bCs/>
      <w:i/>
      <w:iCs/>
      <w:sz w:val="26"/>
      <w:szCs w:val="26"/>
    </w:rPr>
  </w:style>
  <w:style w:type="paragraph" w:styleId="Heading9">
    <w:name w:val="heading 9"/>
    <w:basedOn w:val="Normal"/>
    <w:next w:val="Normal"/>
    <w:qFormat/>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aliases w:val="Body Text Char,Body Text Char1 Char,Body Text Char Char Char,Body Text Char1,Body Text Char Char,bt,Body text,body text,bt Char Char,Body text Char Char,body text Char Char"/>
    <w:basedOn w:val="Normal"/>
    <w:link w:val="BodyTextChar2"/>
    <w:pPr>
      <w:spacing w:after="240"/>
      <w:ind w:firstLine="720"/>
      <w:jc w:val="both"/>
    </w:pPr>
  </w:style>
  <w:style w:type="paragraph" w:styleId="Footer">
    <w:name w:val="footer"/>
    <w:basedOn w:val="Normal"/>
    <w:link w:val="FooterChar"/>
    <w:pPr>
      <w:tabs>
        <w:tab w:val="center" w:pos="4320"/>
        <w:tab w:val="right" w:pos="8640"/>
      </w:tabs>
    </w:pPr>
    <w:rPr>
      <w:sz w:val="14"/>
    </w:rPr>
  </w:style>
  <w:style w:type="paragraph" w:styleId="Header">
    <w:name w:val="header"/>
    <w:basedOn w:val="Normal"/>
    <w:link w:val="HeaderChar"/>
    <w:pPr>
      <w:tabs>
        <w:tab w:val="center" w:pos="4320"/>
        <w:tab w:val="right" w:pos="8640"/>
      </w:tabs>
    </w:pPr>
  </w:style>
  <w:style w:type="character" w:styleId="BodyTextChar2" w:customStyle="1">
    <w:name w:val="Body Text Char2"/>
    <w:aliases w:val="Body Text Char Char1,Body Text Char1 Char Char,Body Text Char Char Char Char,Body Text Char1 Char1,Body Text Char Char Char1,bt Char1,Body text Char1,body text Char1,bt Char Char Char1,Body text Char Char Char1,body text Char Char Char"/>
    <w:link w:val="BodyText"/>
    <w:rPr>
      <w:sz w:val="24"/>
      <w:lang w:val="en-US" w:eastAsia="en-US" w:bidi="ar-SA"/>
    </w:rPr>
  </w:style>
  <w:style w:type="character" w:styleId="PageNumber">
    <w:name w:val="page number"/>
    <w:basedOn w:val="DefaultParagraphFont"/>
  </w:style>
  <w:style w:type="paragraph" w:styleId="List2">
    <w:name w:val="List 2"/>
    <w:basedOn w:val="Normal"/>
    <w:pPr>
      <w:numPr>
        <w:numId w:val="1"/>
      </w:numPr>
      <w:tabs>
        <w:tab w:val="left" w:pos="792"/>
      </w:tabs>
      <w:spacing w:after="240"/>
      <w:jc w:val="both"/>
    </w:pPr>
  </w:style>
  <w:style w:type="paragraph" w:styleId="BodyText2">
    <w:name w:val="Body Text 2"/>
    <w:basedOn w:val="Normal"/>
    <w:link w:val="BodyText2Char"/>
    <w:pPr>
      <w:spacing w:after="240"/>
      <w:ind w:firstLine="1440"/>
      <w:jc w:val="both"/>
    </w:pPr>
  </w:style>
  <w:style w:type="paragraph" w:styleId="BodyTextIndent">
    <w:name w:val="Body Text Indent"/>
    <w:basedOn w:val="Normal"/>
    <w:pPr>
      <w:spacing w:after="240"/>
      <w:ind w:left="1440"/>
      <w:jc w:val="both"/>
    </w:pPr>
  </w:style>
  <w:style w:type="paragraph" w:styleId="TOC1">
    <w:name w:val="toc 1"/>
    <w:basedOn w:val="Normal"/>
    <w:next w:val="Normal"/>
    <w:autoRedefine/>
    <w:semiHidden/>
    <w:pPr>
      <w:tabs>
        <w:tab w:val="right" w:leader="dot" w:pos="8990"/>
      </w:tabs>
      <w:spacing w:before="240" w:after="120"/>
      <w:ind w:left="540" w:hanging="540"/>
    </w:pPr>
    <w:rPr>
      <w:caps/>
      <w:noProof/>
    </w:rPr>
  </w:style>
  <w:style w:type="paragraph" w:styleId="TOC2">
    <w:name w:val="toc 2"/>
    <w:basedOn w:val="Normal"/>
    <w:next w:val="Normal"/>
    <w:autoRedefine/>
    <w:semiHidden/>
    <w:pPr>
      <w:tabs>
        <w:tab w:val="left" w:pos="1980"/>
        <w:tab w:val="right" w:leader="dot" w:pos="8986"/>
      </w:tabs>
      <w:ind w:left="540"/>
    </w:pPr>
    <w:rPr>
      <w:noProof/>
    </w:rPr>
  </w:style>
  <w:style w:type="paragraph" w:styleId="BodyText3">
    <w:name w:val="Body Text 3"/>
    <w:basedOn w:val="Normal"/>
    <w:pPr>
      <w:spacing w:after="240"/>
      <w:ind w:firstLine="2160"/>
      <w:jc w:val="both"/>
    </w:pPr>
  </w:style>
  <w:style w:type="paragraph" w:styleId="BodyTextIndent2">
    <w:name w:val="Body Text Indent 2"/>
    <w:basedOn w:val="Normal"/>
    <w:pPr>
      <w:spacing w:after="240"/>
      <w:ind w:left="2160"/>
      <w:jc w:val="both"/>
    </w:pPr>
  </w:style>
  <w:style w:type="paragraph" w:styleId="BodyTextIndent3">
    <w:name w:val="Body Text Indent 3"/>
    <w:basedOn w:val="Normal"/>
    <w:pPr>
      <w:spacing w:after="240"/>
      <w:ind w:left="2880"/>
      <w:jc w:val="both"/>
    </w:pPr>
  </w:style>
  <w:style w:type="paragraph" w:styleId="OutlineNumbered1" w:customStyle="1">
    <w:name w:val="Outline Numbered 1"/>
    <w:basedOn w:val="Normal"/>
    <w:pPr>
      <w:numPr>
        <w:numId w:val="3"/>
      </w:numPr>
      <w:tabs>
        <w:tab w:val="left" w:pos="1440"/>
      </w:tabs>
      <w:spacing w:after="240"/>
      <w:jc w:val="both"/>
    </w:pPr>
  </w:style>
  <w:style w:type="paragraph" w:styleId="Indent" w:customStyle="1">
    <w:name w:val="Indent"/>
    <w:basedOn w:val="Normal"/>
    <w:pPr>
      <w:spacing w:after="240"/>
      <w:ind w:left="720"/>
      <w:jc w:val="both"/>
    </w:pPr>
  </w:style>
  <w:style w:type="paragraph" w:styleId="OutlineNumbered2" w:customStyle="1">
    <w:name w:val="Outline Numbered 2"/>
    <w:basedOn w:val="Normal"/>
    <w:pPr>
      <w:numPr>
        <w:ilvl w:val="1"/>
        <w:numId w:val="3"/>
      </w:numPr>
      <w:spacing w:after="240"/>
      <w:jc w:val="both"/>
    </w:pPr>
  </w:style>
  <w:style w:type="paragraph" w:styleId="List">
    <w:name w:val="List"/>
    <w:basedOn w:val="Normal"/>
    <w:pPr>
      <w:ind w:left="360" w:hanging="360"/>
    </w:pPr>
  </w:style>
  <w:style w:type="paragraph" w:styleId="BlockText">
    <w:name w:val="Block Text"/>
    <w:basedOn w:val="Normal"/>
    <w:pPr>
      <w:spacing w:after="240"/>
      <w:ind w:left="1440" w:right="1440"/>
      <w:jc w:val="both"/>
    </w:pPr>
  </w:style>
  <w:style w:type="character" w:styleId="ParaNum" w:customStyle="1">
    <w:name w:val="ParaNum"/>
  </w:style>
  <w:style w:type="paragraph" w:styleId="BalloonText">
    <w:name w:val="Balloon Text"/>
    <w:basedOn w:val="Normal"/>
    <w:semiHidden/>
    <w:rPr>
      <w:rFonts w:ascii="Tahoma" w:hAnsi="Tahoma" w:cs="Tahoma"/>
      <w:sz w:val="16"/>
      <w:szCs w:val="16"/>
    </w:rPr>
  </w:style>
  <w:style w:type="character" w:styleId="btChar" w:customStyle="1">
    <w:name w:val="bt Char"/>
    <w:aliases w:val="Body text Char,body text Char,bt Char Char Char,Body text Char Char Char,body text Char Char Char Char"/>
    <w:rPr>
      <w:sz w:val="24"/>
      <w:lang w:val="en-US" w:eastAsia="en-US" w:bidi="ar-SA"/>
    </w:rPr>
  </w:style>
  <w:style w:type="character" w:styleId="HeaderChar" w:customStyle="1">
    <w:name w:val="Header Char"/>
    <w:link w:val="Header"/>
    <w:rPr>
      <w:sz w:val="24"/>
    </w:rPr>
  </w:style>
  <w:style w:type="character" w:styleId="FooterChar" w:customStyle="1">
    <w:name w:val="Footer Char"/>
    <w:link w:val="Footer"/>
    <w:rPr>
      <w:sz w:val="14"/>
    </w:rPr>
  </w:style>
  <w:style w:type="paragraph" w:styleId="MacPacTrailer" w:customStyle="1">
    <w:name w:val="MacPac Trailer"/>
    <w:pPr>
      <w:widowControl w:val="0"/>
      <w:spacing w:line="160" w:lineRule="exact"/>
    </w:pPr>
    <w:rPr>
      <w:sz w:val="14"/>
      <w:szCs w:val="22"/>
    </w:rPr>
  </w:style>
  <w:style w:type="character" w:styleId="Heading1Char" w:customStyle="1">
    <w:name w:val="Heading 1 Char"/>
    <w:link w:val="Heading1"/>
    <w:rPr>
      <w:caps/>
      <w:sz w:val="24"/>
    </w:rPr>
  </w:style>
  <w:style w:type="paragraph" w:styleId="HDWBodyTxt-0" w:customStyle="1">
    <w:name w:val="*HDWBodyTxt-0&quot;"/>
    <w:basedOn w:val="Normal"/>
    <w:pPr>
      <w:spacing w:after="240"/>
      <w:jc w:val="both"/>
    </w:pPr>
    <w:rPr>
      <w:szCs w:val="24"/>
    </w:rPr>
  </w:style>
  <w:style w:type="paragraph" w:styleId="HDWSignature" w:customStyle="1">
    <w:name w:val="*HDWSignature"/>
    <w:basedOn w:val="Normal"/>
    <w:next w:val="Normal"/>
    <w:pPr>
      <w:tabs>
        <w:tab w:val="right" w:pos="7920"/>
      </w:tabs>
      <w:spacing w:after="240"/>
      <w:ind w:left="4320"/>
    </w:pPr>
    <w:rPr>
      <w:szCs w:val="24"/>
    </w:rPr>
  </w:style>
  <w:style w:type="character" w:styleId="PlaceholderText">
    <w:name w:val="Placeholder Text"/>
    <w:uiPriority w:val="99"/>
    <w:semiHidden/>
    <w:rPr>
      <w:color w:val="808080"/>
    </w:rPr>
  </w:style>
  <w:style w:type="character" w:styleId="BodyText2Char" w:customStyle="1">
    <w:name w:val="Body Text 2 Char"/>
    <w:link w:val="BodyText2"/>
    <w:rPr>
      <w:sz w:val="24"/>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styleId="CommentTextChar" w:customStyle="1">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styleId="CommentSubjectChar" w:customStyle="1">
    <w:name w:val="Comment Subject Char"/>
    <w:link w:val="CommentSubject"/>
    <w:rPr>
      <w:b/>
      <w:bCs/>
    </w:rPr>
  </w:style>
  <w:style w:type="character" w:styleId="Heading5Char" w:customStyle="1">
    <w:name w:val="Heading 5 Char"/>
    <w:basedOn w:val="DefaultParagraphFont"/>
    <w:link w:val="Heading5"/>
    <w:uiPriority w:val="9"/>
    <w:rPr>
      <w:rFonts w:asciiTheme="minorHAnsi" w:hAnsiTheme="minorHAnsi" w:eastAsiaTheme="minorEastAsia"/>
      <w:b/>
      <w:bCs/>
      <w:i/>
      <w:iCs/>
      <w:sz w:val="26"/>
      <w:szCs w:val="26"/>
    </w:rPr>
  </w:style>
  <w:style w:type="paragraph" w:styleId="Default" w:customStyle="1">
    <w:name w:val="Default"/>
    <w:pPr>
      <w:autoSpaceDE w:val="0"/>
      <w:autoSpaceDN w:val="0"/>
      <w:adjustRightInd w:val="0"/>
    </w:pPr>
    <w:rPr>
      <w:rFonts w:eastAsiaTheme="minorEastAsia"/>
      <w:color w:val="000000"/>
      <w:sz w:val="24"/>
      <w:szCs w:val="24"/>
    </w:rPr>
  </w:style>
  <w:style w:type="paragraph" w:styleId="ListParagraph">
    <w:name w:val="List Paragraph"/>
    <w:basedOn w:val="Normal"/>
    <w:uiPriority w:val="34"/>
    <w:qFormat/>
    <w:pPr>
      <w:ind w:left="720"/>
      <w:contextualSpacing/>
    </w:pPr>
    <w:rPr>
      <w:szCs w:val="24"/>
    </w:rPr>
  </w:style>
  <w:style w:type="paragraph" w:styleId="Revision">
    <w:name w:val="Revision"/>
    <w:hidden/>
    <w:uiPriority w:val="99"/>
    <w:semiHidden/>
    <w:rsid w:val="001D06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5580">
      <w:bodyDiv w:val="1"/>
      <w:marLeft w:val="0"/>
      <w:marRight w:val="0"/>
      <w:marTop w:val="0"/>
      <w:marBottom w:val="0"/>
      <w:divBdr>
        <w:top w:val="none" w:sz="0" w:space="0" w:color="auto"/>
        <w:left w:val="none" w:sz="0" w:space="0" w:color="auto"/>
        <w:bottom w:val="none" w:sz="0" w:space="0" w:color="auto"/>
        <w:right w:val="none" w:sz="0" w:space="0" w:color="auto"/>
      </w:divBdr>
    </w:div>
    <w:div w:id="615916439">
      <w:bodyDiv w:val="1"/>
      <w:marLeft w:val="0"/>
      <w:marRight w:val="0"/>
      <w:marTop w:val="0"/>
      <w:marBottom w:val="0"/>
      <w:divBdr>
        <w:top w:val="none" w:sz="0" w:space="0" w:color="auto"/>
        <w:left w:val="none" w:sz="0" w:space="0" w:color="auto"/>
        <w:bottom w:val="none" w:sz="0" w:space="0" w:color="auto"/>
        <w:right w:val="none" w:sz="0" w:space="0" w:color="auto"/>
      </w:divBdr>
    </w:div>
    <w:div w:id="702483272">
      <w:bodyDiv w:val="1"/>
      <w:marLeft w:val="0"/>
      <w:marRight w:val="0"/>
      <w:marTop w:val="0"/>
      <w:marBottom w:val="0"/>
      <w:divBdr>
        <w:top w:val="none" w:sz="0" w:space="0" w:color="auto"/>
        <w:left w:val="none" w:sz="0" w:space="0" w:color="auto"/>
        <w:bottom w:val="none" w:sz="0" w:space="0" w:color="auto"/>
        <w:right w:val="none" w:sz="0" w:space="0" w:color="auto"/>
      </w:divBdr>
    </w:div>
    <w:div w:id="740718719">
      <w:bodyDiv w:val="1"/>
      <w:marLeft w:val="0"/>
      <w:marRight w:val="0"/>
      <w:marTop w:val="0"/>
      <w:marBottom w:val="0"/>
      <w:divBdr>
        <w:top w:val="none" w:sz="0" w:space="0" w:color="auto"/>
        <w:left w:val="none" w:sz="0" w:space="0" w:color="auto"/>
        <w:bottom w:val="none" w:sz="0" w:space="0" w:color="auto"/>
        <w:right w:val="none" w:sz="0" w:space="0" w:color="auto"/>
      </w:divBdr>
    </w:div>
    <w:div w:id="771628073">
      <w:bodyDiv w:val="1"/>
      <w:marLeft w:val="0"/>
      <w:marRight w:val="0"/>
      <w:marTop w:val="0"/>
      <w:marBottom w:val="0"/>
      <w:divBdr>
        <w:top w:val="none" w:sz="0" w:space="0" w:color="auto"/>
        <w:left w:val="none" w:sz="0" w:space="0" w:color="auto"/>
        <w:bottom w:val="none" w:sz="0" w:space="0" w:color="auto"/>
        <w:right w:val="none" w:sz="0" w:space="0" w:color="auto"/>
      </w:divBdr>
    </w:div>
    <w:div w:id="821894624">
      <w:bodyDiv w:val="1"/>
      <w:marLeft w:val="0"/>
      <w:marRight w:val="0"/>
      <w:marTop w:val="0"/>
      <w:marBottom w:val="0"/>
      <w:divBdr>
        <w:top w:val="none" w:sz="0" w:space="0" w:color="auto"/>
        <w:left w:val="none" w:sz="0" w:space="0" w:color="auto"/>
        <w:bottom w:val="none" w:sz="0" w:space="0" w:color="auto"/>
        <w:right w:val="none" w:sz="0" w:space="0" w:color="auto"/>
      </w:divBdr>
    </w:div>
    <w:div w:id="914899898">
      <w:bodyDiv w:val="1"/>
      <w:marLeft w:val="0"/>
      <w:marRight w:val="0"/>
      <w:marTop w:val="0"/>
      <w:marBottom w:val="0"/>
      <w:divBdr>
        <w:top w:val="none" w:sz="0" w:space="0" w:color="auto"/>
        <w:left w:val="none" w:sz="0" w:space="0" w:color="auto"/>
        <w:bottom w:val="none" w:sz="0" w:space="0" w:color="auto"/>
        <w:right w:val="none" w:sz="0" w:space="0" w:color="auto"/>
      </w:divBdr>
    </w:div>
    <w:div w:id="999700903">
      <w:bodyDiv w:val="1"/>
      <w:marLeft w:val="0"/>
      <w:marRight w:val="0"/>
      <w:marTop w:val="0"/>
      <w:marBottom w:val="0"/>
      <w:divBdr>
        <w:top w:val="none" w:sz="0" w:space="0" w:color="auto"/>
        <w:left w:val="none" w:sz="0" w:space="0" w:color="auto"/>
        <w:bottom w:val="none" w:sz="0" w:space="0" w:color="auto"/>
        <w:right w:val="none" w:sz="0" w:space="0" w:color="auto"/>
      </w:divBdr>
    </w:div>
    <w:div w:id="1018850833">
      <w:bodyDiv w:val="1"/>
      <w:marLeft w:val="0"/>
      <w:marRight w:val="0"/>
      <w:marTop w:val="0"/>
      <w:marBottom w:val="0"/>
      <w:divBdr>
        <w:top w:val="none" w:sz="0" w:space="0" w:color="auto"/>
        <w:left w:val="none" w:sz="0" w:space="0" w:color="auto"/>
        <w:bottom w:val="none" w:sz="0" w:space="0" w:color="auto"/>
        <w:right w:val="none" w:sz="0" w:space="0" w:color="auto"/>
      </w:divBdr>
    </w:div>
    <w:div w:id="1023945594">
      <w:bodyDiv w:val="1"/>
      <w:marLeft w:val="0"/>
      <w:marRight w:val="0"/>
      <w:marTop w:val="0"/>
      <w:marBottom w:val="0"/>
      <w:divBdr>
        <w:top w:val="none" w:sz="0" w:space="0" w:color="auto"/>
        <w:left w:val="none" w:sz="0" w:space="0" w:color="auto"/>
        <w:bottom w:val="none" w:sz="0" w:space="0" w:color="auto"/>
        <w:right w:val="none" w:sz="0" w:space="0" w:color="auto"/>
      </w:divBdr>
    </w:div>
    <w:div w:id="1117406346">
      <w:bodyDiv w:val="1"/>
      <w:marLeft w:val="0"/>
      <w:marRight w:val="0"/>
      <w:marTop w:val="0"/>
      <w:marBottom w:val="0"/>
      <w:divBdr>
        <w:top w:val="none" w:sz="0" w:space="0" w:color="auto"/>
        <w:left w:val="none" w:sz="0" w:space="0" w:color="auto"/>
        <w:bottom w:val="none" w:sz="0" w:space="0" w:color="auto"/>
        <w:right w:val="none" w:sz="0" w:space="0" w:color="auto"/>
      </w:divBdr>
    </w:div>
    <w:div w:id="1142766995">
      <w:bodyDiv w:val="1"/>
      <w:marLeft w:val="0"/>
      <w:marRight w:val="0"/>
      <w:marTop w:val="0"/>
      <w:marBottom w:val="0"/>
      <w:divBdr>
        <w:top w:val="none" w:sz="0" w:space="0" w:color="auto"/>
        <w:left w:val="none" w:sz="0" w:space="0" w:color="auto"/>
        <w:bottom w:val="none" w:sz="0" w:space="0" w:color="auto"/>
        <w:right w:val="none" w:sz="0" w:space="0" w:color="auto"/>
      </w:divBdr>
    </w:div>
    <w:div w:id="1387297860">
      <w:bodyDiv w:val="1"/>
      <w:marLeft w:val="0"/>
      <w:marRight w:val="0"/>
      <w:marTop w:val="0"/>
      <w:marBottom w:val="0"/>
      <w:divBdr>
        <w:top w:val="none" w:sz="0" w:space="0" w:color="auto"/>
        <w:left w:val="none" w:sz="0" w:space="0" w:color="auto"/>
        <w:bottom w:val="none" w:sz="0" w:space="0" w:color="auto"/>
        <w:right w:val="none" w:sz="0" w:space="0" w:color="auto"/>
      </w:divBdr>
    </w:div>
    <w:div w:id="1412267597">
      <w:bodyDiv w:val="1"/>
      <w:marLeft w:val="0"/>
      <w:marRight w:val="0"/>
      <w:marTop w:val="0"/>
      <w:marBottom w:val="0"/>
      <w:divBdr>
        <w:top w:val="none" w:sz="0" w:space="0" w:color="auto"/>
        <w:left w:val="none" w:sz="0" w:space="0" w:color="auto"/>
        <w:bottom w:val="none" w:sz="0" w:space="0" w:color="auto"/>
        <w:right w:val="none" w:sz="0" w:space="0" w:color="auto"/>
      </w:divBdr>
    </w:div>
    <w:div w:id="1424298003">
      <w:bodyDiv w:val="1"/>
      <w:marLeft w:val="0"/>
      <w:marRight w:val="0"/>
      <w:marTop w:val="0"/>
      <w:marBottom w:val="0"/>
      <w:divBdr>
        <w:top w:val="none" w:sz="0" w:space="0" w:color="auto"/>
        <w:left w:val="none" w:sz="0" w:space="0" w:color="auto"/>
        <w:bottom w:val="none" w:sz="0" w:space="0" w:color="auto"/>
        <w:right w:val="none" w:sz="0" w:space="0" w:color="auto"/>
      </w:divBdr>
    </w:div>
    <w:div w:id="1445807288">
      <w:bodyDiv w:val="1"/>
      <w:marLeft w:val="0"/>
      <w:marRight w:val="0"/>
      <w:marTop w:val="0"/>
      <w:marBottom w:val="0"/>
      <w:divBdr>
        <w:top w:val="none" w:sz="0" w:space="0" w:color="auto"/>
        <w:left w:val="none" w:sz="0" w:space="0" w:color="auto"/>
        <w:bottom w:val="none" w:sz="0" w:space="0" w:color="auto"/>
        <w:right w:val="none" w:sz="0" w:space="0" w:color="auto"/>
      </w:divBdr>
    </w:div>
    <w:div w:id="1516336335">
      <w:bodyDiv w:val="1"/>
      <w:marLeft w:val="0"/>
      <w:marRight w:val="0"/>
      <w:marTop w:val="0"/>
      <w:marBottom w:val="0"/>
      <w:divBdr>
        <w:top w:val="none" w:sz="0" w:space="0" w:color="auto"/>
        <w:left w:val="none" w:sz="0" w:space="0" w:color="auto"/>
        <w:bottom w:val="none" w:sz="0" w:space="0" w:color="auto"/>
        <w:right w:val="none" w:sz="0" w:space="0" w:color="auto"/>
      </w:divBdr>
    </w:div>
    <w:div w:id="1624969126">
      <w:bodyDiv w:val="1"/>
      <w:marLeft w:val="0"/>
      <w:marRight w:val="0"/>
      <w:marTop w:val="0"/>
      <w:marBottom w:val="0"/>
      <w:divBdr>
        <w:top w:val="none" w:sz="0" w:space="0" w:color="auto"/>
        <w:left w:val="none" w:sz="0" w:space="0" w:color="auto"/>
        <w:bottom w:val="none" w:sz="0" w:space="0" w:color="auto"/>
        <w:right w:val="none" w:sz="0" w:space="0" w:color="auto"/>
      </w:divBdr>
    </w:div>
    <w:div w:id="1636905462">
      <w:bodyDiv w:val="1"/>
      <w:marLeft w:val="0"/>
      <w:marRight w:val="0"/>
      <w:marTop w:val="0"/>
      <w:marBottom w:val="0"/>
      <w:divBdr>
        <w:top w:val="none" w:sz="0" w:space="0" w:color="auto"/>
        <w:left w:val="none" w:sz="0" w:space="0" w:color="auto"/>
        <w:bottom w:val="none" w:sz="0" w:space="0" w:color="auto"/>
        <w:right w:val="none" w:sz="0" w:space="0" w:color="auto"/>
      </w:divBdr>
    </w:div>
    <w:div w:id="1785153719">
      <w:bodyDiv w:val="1"/>
      <w:marLeft w:val="0"/>
      <w:marRight w:val="0"/>
      <w:marTop w:val="0"/>
      <w:marBottom w:val="0"/>
      <w:divBdr>
        <w:top w:val="none" w:sz="0" w:space="0" w:color="auto"/>
        <w:left w:val="none" w:sz="0" w:space="0" w:color="auto"/>
        <w:bottom w:val="none" w:sz="0" w:space="0" w:color="auto"/>
        <w:right w:val="none" w:sz="0" w:space="0" w:color="auto"/>
      </w:divBdr>
    </w:div>
    <w:div w:id="2035956133">
      <w:bodyDiv w:val="1"/>
      <w:marLeft w:val="0"/>
      <w:marRight w:val="0"/>
      <w:marTop w:val="0"/>
      <w:marBottom w:val="0"/>
      <w:divBdr>
        <w:top w:val="none" w:sz="0" w:space="0" w:color="auto"/>
        <w:left w:val="none" w:sz="0" w:space="0" w:color="auto"/>
        <w:bottom w:val="none" w:sz="0" w:space="0" w:color="auto"/>
        <w:right w:val="none" w:sz="0" w:space="0" w:color="auto"/>
      </w:divBdr>
    </w:div>
    <w:div w:id="2113670296">
      <w:bodyDiv w:val="1"/>
      <w:marLeft w:val="0"/>
      <w:marRight w:val="0"/>
      <w:marTop w:val="0"/>
      <w:marBottom w:val="0"/>
      <w:divBdr>
        <w:top w:val="none" w:sz="0" w:space="0" w:color="auto"/>
        <w:left w:val="none" w:sz="0" w:space="0" w:color="auto"/>
        <w:bottom w:val="none" w:sz="0" w:space="0" w:color="auto"/>
        <w:right w:val="none" w:sz="0" w:space="0" w:color="auto"/>
      </w:divBdr>
    </w:div>
    <w:div w:id="2114281225">
      <w:bodyDiv w:val="1"/>
      <w:marLeft w:val="0"/>
      <w:marRight w:val="0"/>
      <w:marTop w:val="0"/>
      <w:marBottom w:val="0"/>
      <w:divBdr>
        <w:top w:val="none" w:sz="0" w:space="0" w:color="auto"/>
        <w:left w:val="none" w:sz="0" w:space="0" w:color="auto"/>
        <w:bottom w:val="none" w:sz="0" w:space="0" w:color="auto"/>
        <w:right w:val="none" w:sz="0" w:space="0" w:color="auto"/>
      </w:divBdr>
    </w:div>
    <w:div w:id="2138405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4.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9EE6EE1-E8E9-4F81-BBF7-C0BD70306E6F}"/>
      </w:docPartPr>
      <w:docPartBody>
        <w:p w:rsidR="007B43C6" w:rsidRDefault="007B43C6">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C6"/>
    <w:rsid w:val="000347F9"/>
    <w:rsid w:val="00487605"/>
    <w:rsid w:val="004C4AD9"/>
    <w:rsid w:val="004C52C3"/>
    <w:rsid w:val="006430FC"/>
    <w:rsid w:val="00697B8C"/>
    <w:rsid w:val="007B43C6"/>
    <w:rsid w:val="007F3EF7"/>
    <w:rsid w:val="008F031C"/>
    <w:rsid w:val="00C2445A"/>
    <w:rsid w:val="00F277EA"/>
    <w:rsid w:val="00F9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