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1B" w:rsidRPr="00A9344F" w:rsidRDefault="00241D1B" w:rsidP="00241D1B">
      <w:pPr>
        <w:suppressAutoHyphens/>
        <w:jc w:val="center"/>
        <w:rPr>
          <w:b/>
          <w:szCs w:val="24"/>
        </w:rPr>
      </w:pPr>
      <w:r w:rsidRPr="00A9344F">
        <w:rPr>
          <w:b/>
          <w:szCs w:val="24"/>
        </w:rPr>
        <w:t>______________________________</w:t>
      </w:r>
    </w:p>
    <w:p w:rsidR="00241D1B" w:rsidRPr="00A9344F" w:rsidRDefault="00241D1B" w:rsidP="00241D1B">
      <w:pPr>
        <w:suppressAutoHyphens/>
        <w:jc w:val="center"/>
        <w:rPr>
          <w:b/>
          <w:szCs w:val="24"/>
        </w:rPr>
      </w:pPr>
    </w:p>
    <w:p w:rsidR="00241D1B" w:rsidRPr="00203D00" w:rsidRDefault="00241D1B" w:rsidP="00241D1B">
      <w:pPr>
        <w:suppressAutoHyphens/>
        <w:jc w:val="center"/>
        <w:rPr>
          <w:b/>
          <w:sz w:val="23"/>
          <w:szCs w:val="23"/>
        </w:rPr>
      </w:pPr>
      <w:r w:rsidRPr="00203D00">
        <w:rPr>
          <w:b/>
          <w:sz w:val="23"/>
          <w:szCs w:val="23"/>
        </w:rPr>
        <w:t>NOTICE OF PUBLIC HEARING</w:t>
      </w:r>
    </w:p>
    <w:p w:rsidR="00241D1B" w:rsidRPr="00203D00" w:rsidRDefault="00241D1B" w:rsidP="00241D1B">
      <w:pPr>
        <w:suppressAutoHyphens/>
        <w:jc w:val="center"/>
        <w:rPr>
          <w:b/>
          <w:sz w:val="23"/>
          <w:szCs w:val="23"/>
        </w:rPr>
      </w:pPr>
      <w:r w:rsidRPr="00203D00">
        <w:rPr>
          <w:b/>
          <w:sz w:val="23"/>
          <w:szCs w:val="23"/>
        </w:rPr>
        <w:t>______________________________</w:t>
      </w:r>
    </w:p>
    <w:p w:rsidR="00241D1B" w:rsidRPr="00203D00" w:rsidRDefault="00241D1B" w:rsidP="00241D1B">
      <w:pPr>
        <w:suppressAutoHyphens/>
        <w:jc w:val="center"/>
        <w:rPr>
          <w:b/>
          <w:sz w:val="23"/>
          <w:szCs w:val="23"/>
        </w:rPr>
      </w:pPr>
    </w:p>
    <w:p w:rsidR="00241D1B" w:rsidRPr="001E6E3C" w:rsidRDefault="00241D1B" w:rsidP="00203D00">
      <w:pPr>
        <w:pStyle w:val="BodyText"/>
        <w:spacing w:after="180"/>
        <w:jc w:val="both"/>
        <w:rPr>
          <w:sz w:val="23"/>
          <w:szCs w:val="23"/>
        </w:rPr>
      </w:pPr>
      <w:r w:rsidRPr="00203D00">
        <w:rPr>
          <w:sz w:val="23"/>
          <w:szCs w:val="23"/>
        </w:rPr>
        <w:t xml:space="preserve">NOTICE IS HEREBY GIVEN that due to the Novel Coronavirus (COVID-19) Emergency State and Federal bans on large meetings or gatherings and pursuant to Governor Cuomo’s Executive Order 202.1 issued on March 12, 2020, as amended to date, permitting local governments to hold public hearings by telephone and video conference and/or similar device, the Public Hearing scheduled for </w:t>
      </w:r>
      <w:r w:rsidR="00434CD6">
        <w:rPr>
          <w:sz w:val="23"/>
          <w:szCs w:val="23"/>
        </w:rPr>
        <w:t xml:space="preserve">June </w:t>
      </w:r>
      <w:r w:rsidR="00E8473B">
        <w:rPr>
          <w:sz w:val="23"/>
          <w:szCs w:val="23"/>
        </w:rPr>
        <w:t>15,</w:t>
      </w:r>
      <w:r w:rsidR="00434CD6">
        <w:rPr>
          <w:sz w:val="23"/>
          <w:szCs w:val="23"/>
        </w:rPr>
        <w:t xml:space="preserve"> 2021</w:t>
      </w:r>
      <w:r w:rsidR="00E8473B">
        <w:rPr>
          <w:sz w:val="23"/>
          <w:szCs w:val="23"/>
        </w:rPr>
        <w:t>, at 9:30</w:t>
      </w:r>
      <w:r w:rsidRPr="00203D00">
        <w:rPr>
          <w:sz w:val="23"/>
          <w:szCs w:val="23"/>
        </w:rPr>
        <w:t xml:space="preserve"> a.m., local time, being held by the Town of Hempstead Industrial Development Agency (the “</w:t>
      </w:r>
      <w:r w:rsidRPr="00203D00">
        <w:rPr>
          <w:b/>
          <w:sz w:val="23"/>
          <w:szCs w:val="23"/>
        </w:rPr>
        <w:t>Agency</w:t>
      </w:r>
      <w:r w:rsidRPr="00203D00">
        <w:rPr>
          <w:sz w:val="23"/>
          <w:szCs w:val="23"/>
        </w:rPr>
        <w:t xml:space="preserve">”), in accordance with the provisions of Article 18-A of the New York General Municipal Law will be held electronically via conference call instead of a public hearing open for the public to attend.  PLEASE NOTE THE SPECIAL PUBLIC HEARING LOGISTICS AND </w:t>
      </w:r>
      <w:r w:rsidRPr="001E6E3C">
        <w:rPr>
          <w:sz w:val="23"/>
          <w:szCs w:val="23"/>
        </w:rPr>
        <w:t>INSTRUCTIONS INCLUDED AT THE END OF THIS NOTICE</w:t>
      </w:r>
    </w:p>
    <w:p w:rsidR="00357442" w:rsidRPr="001E6E3C" w:rsidRDefault="00357442" w:rsidP="00357442">
      <w:pPr>
        <w:pStyle w:val="BodyText"/>
        <w:ind w:right="-18"/>
        <w:jc w:val="both"/>
        <w:rPr>
          <w:sz w:val="23"/>
          <w:szCs w:val="23"/>
        </w:rPr>
      </w:pPr>
      <w:r w:rsidRPr="001E6E3C">
        <w:rPr>
          <w:color w:val="000000"/>
          <w:sz w:val="23"/>
          <w:szCs w:val="23"/>
        </w:rPr>
        <w:t>The Agency previously assisted Hempstead 209, LLC,</w:t>
      </w:r>
      <w:r w:rsidRPr="001E6E3C">
        <w:rPr>
          <w:sz w:val="23"/>
          <w:szCs w:val="23"/>
        </w:rPr>
        <w:t xml:space="preserve"> a limited liability company, organized and existing under the laws of the State of New York</w:t>
      </w:r>
      <w:r w:rsidRPr="001E6E3C">
        <w:rPr>
          <w:color w:val="000000"/>
          <w:sz w:val="23"/>
          <w:szCs w:val="23"/>
        </w:rPr>
        <w:t xml:space="preserve">, </w:t>
      </w:r>
      <w:r w:rsidRPr="001E6E3C">
        <w:rPr>
          <w:sz w:val="23"/>
          <w:szCs w:val="23"/>
        </w:rPr>
        <w:t>(the “</w:t>
      </w:r>
      <w:r w:rsidRPr="001E6E3C">
        <w:rPr>
          <w:b/>
          <w:sz w:val="23"/>
          <w:szCs w:val="23"/>
        </w:rPr>
        <w:t>Company</w:t>
      </w:r>
      <w:r w:rsidRPr="001E6E3C">
        <w:rPr>
          <w:sz w:val="23"/>
          <w:szCs w:val="23"/>
        </w:rPr>
        <w:t xml:space="preserve">”), with the </w:t>
      </w:r>
      <w:r w:rsidRPr="001E6E3C">
        <w:rPr>
          <w:color w:val="000000"/>
          <w:sz w:val="23"/>
          <w:szCs w:val="23"/>
        </w:rPr>
        <w:t xml:space="preserve">acquisition of five (5) parcels of land (described as Section 34, Block 300, Lots 147, 148, 149, 150 and 151) located at </w:t>
      </w:r>
      <w:r w:rsidRPr="001E6E3C">
        <w:rPr>
          <w:sz w:val="23"/>
          <w:szCs w:val="23"/>
        </w:rPr>
        <w:t>209-229 Front Street</w:t>
      </w:r>
      <w:r w:rsidRPr="001E6E3C">
        <w:rPr>
          <w:color w:val="000000"/>
          <w:sz w:val="23"/>
          <w:szCs w:val="23"/>
        </w:rPr>
        <w:t>, Village of Hempstead, New York (the “</w:t>
      </w:r>
      <w:r w:rsidRPr="001E6E3C">
        <w:rPr>
          <w:b/>
          <w:color w:val="000000"/>
          <w:sz w:val="23"/>
          <w:szCs w:val="23"/>
        </w:rPr>
        <w:t>Land</w:t>
      </w:r>
      <w:r w:rsidRPr="001E6E3C">
        <w:rPr>
          <w:color w:val="000000"/>
          <w:sz w:val="23"/>
          <w:szCs w:val="23"/>
        </w:rPr>
        <w:t>”), the demolition of existing structures located on four of the parcels to be developed into parking spaces and the expansion, renovation, construction, equipping and furnishing of an approximately 2,000 square foot addition to an existing approximately 9,250 square foot building located thereon (the “</w:t>
      </w:r>
      <w:r w:rsidRPr="001E6E3C">
        <w:rPr>
          <w:b/>
          <w:color w:val="000000"/>
          <w:sz w:val="23"/>
          <w:szCs w:val="23"/>
        </w:rPr>
        <w:t>Equipment</w:t>
      </w:r>
      <w:r w:rsidRPr="001E6E3C">
        <w:rPr>
          <w:color w:val="000000"/>
          <w:sz w:val="23"/>
          <w:szCs w:val="23"/>
        </w:rPr>
        <w:t>” and the “</w:t>
      </w:r>
      <w:r w:rsidRPr="001E6E3C">
        <w:rPr>
          <w:b/>
          <w:color w:val="000000"/>
          <w:sz w:val="23"/>
          <w:szCs w:val="23"/>
        </w:rPr>
        <w:t>Improvements</w:t>
      </w:r>
      <w:r w:rsidRPr="001E6E3C">
        <w:rPr>
          <w:color w:val="000000"/>
          <w:sz w:val="23"/>
          <w:szCs w:val="23"/>
        </w:rPr>
        <w:t>”; and together with the Land, the “</w:t>
      </w:r>
      <w:r w:rsidRPr="001E6E3C">
        <w:rPr>
          <w:b/>
          <w:color w:val="000000"/>
          <w:sz w:val="23"/>
          <w:szCs w:val="23"/>
        </w:rPr>
        <w:t>Facility</w:t>
      </w:r>
      <w:r w:rsidRPr="001E6E3C">
        <w:rPr>
          <w:color w:val="000000"/>
          <w:sz w:val="23"/>
          <w:szCs w:val="23"/>
        </w:rPr>
        <w:t>”), all to be leased by the Agency to the Company for further lease by the Company to various tenants including, but not limited to Family Dollar (collectively, the “</w:t>
      </w:r>
      <w:proofErr w:type="spellStart"/>
      <w:r w:rsidRPr="001E6E3C">
        <w:rPr>
          <w:b/>
          <w:color w:val="000000"/>
          <w:sz w:val="23"/>
          <w:szCs w:val="23"/>
        </w:rPr>
        <w:t>Sublessees</w:t>
      </w:r>
      <w:proofErr w:type="spellEnd"/>
      <w:r w:rsidRPr="001E6E3C">
        <w:rPr>
          <w:color w:val="000000"/>
          <w:sz w:val="23"/>
          <w:szCs w:val="23"/>
        </w:rPr>
        <w:t>”) for use as a commercial multi-tenant building.</w:t>
      </w:r>
      <w:r w:rsidRPr="001E6E3C">
        <w:rPr>
          <w:sz w:val="23"/>
          <w:szCs w:val="23"/>
        </w:rPr>
        <w:t xml:space="preserve">  The Facility was initially owned, operated and/or managed by the </w:t>
      </w:r>
      <w:r w:rsidRPr="001E6E3C">
        <w:rPr>
          <w:color w:val="000000"/>
          <w:sz w:val="23"/>
          <w:szCs w:val="23"/>
        </w:rPr>
        <w:t>Company.</w:t>
      </w:r>
    </w:p>
    <w:p w:rsidR="00357442" w:rsidRPr="009E244C" w:rsidRDefault="00357442" w:rsidP="00357442">
      <w:pPr>
        <w:pStyle w:val="BodyText"/>
        <w:spacing w:after="180"/>
        <w:ind w:firstLine="0"/>
        <w:jc w:val="both"/>
        <w:rPr>
          <w:sz w:val="23"/>
          <w:szCs w:val="23"/>
        </w:rPr>
      </w:pPr>
      <w:r w:rsidRPr="001E6E3C">
        <w:rPr>
          <w:sz w:val="23"/>
          <w:szCs w:val="23"/>
        </w:rPr>
        <w:tab/>
        <w:t xml:space="preserve">The Company now intends to </w:t>
      </w:r>
      <w:r w:rsidR="005605B1" w:rsidRPr="001E6E3C">
        <w:rPr>
          <w:sz w:val="23"/>
          <w:szCs w:val="23"/>
        </w:rPr>
        <w:t>sell a fifty percent (50%) tenant-in-common interest in the La</w:t>
      </w:r>
      <w:r w:rsidR="001E6E3C">
        <w:rPr>
          <w:sz w:val="23"/>
          <w:szCs w:val="23"/>
        </w:rPr>
        <w:t>nd and Improvements to Front St</w:t>
      </w:r>
      <w:r w:rsidR="005605B1" w:rsidRPr="001E6E3C">
        <w:rPr>
          <w:sz w:val="23"/>
          <w:szCs w:val="23"/>
        </w:rPr>
        <w:t xml:space="preserve"> Hempstead NY, LLC and/or the principals of </w:t>
      </w:r>
      <w:r w:rsidR="001E6E3C">
        <w:rPr>
          <w:color w:val="000000"/>
          <w:sz w:val="23"/>
          <w:szCs w:val="23"/>
        </w:rPr>
        <w:t>Front St Hempstead NY, LLC</w:t>
      </w:r>
      <w:r w:rsidR="005605B1" w:rsidRPr="001E6E3C">
        <w:rPr>
          <w:color w:val="000000"/>
          <w:sz w:val="23"/>
          <w:szCs w:val="23"/>
        </w:rPr>
        <w:t xml:space="preserve"> </w:t>
      </w:r>
      <w:r w:rsidR="005605B1" w:rsidRPr="001E6E3C">
        <w:rPr>
          <w:sz w:val="23"/>
          <w:szCs w:val="23"/>
        </w:rPr>
        <w:t>and/or an entity formed or to be formed on behalf of any of the foregoing</w:t>
      </w:r>
      <w:r w:rsidR="009E244C">
        <w:rPr>
          <w:sz w:val="23"/>
          <w:szCs w:val="23"/>
        </w:rPr>
        <w:t xml:space="preserve"> (the “</w:t>
      </w:r>
      <w:r w:rsidR="009E244C">
        <w:rPr>
          <w:b/>
          <w:sz w:val="23"/>
          <w:szCs w:val="23"/>
        </w:rPr>
        <w:t>Purchaser</w:t>
      </w:r>
      <w:r w:rsidR="009E244C">
        <w:rPr>
          <w:sz w:val="23"/>
          <w:szCs w:val="23"/>
        </w:rPr>
        <w:t xml:space="preserve">”) and has requested the Agency’s consent to the assignment by the Company </w:t>
      </w:r>
      <w:r w:rsidR="008C29C9">
        <w:rPr>
          <w:sz w:val="23"/>
          <w:szCs w:val="23"/>
        </w:rPr>
        <w:t>of fifty percent (50%) of its leasehold interest and certain other agreements in connection with the Land and Improvements</w:t>
      </w:r>
      <w:r w:rsidR="00C60725">
        <w:rPr>
          <w:sz w:val="23"/>
          <w:szCs w:val="23"/>
        </w:rPr>
        <w:t xml:space="preserve"> (the “</w:t>
      </w:r>
      <w:r w:rsidR="00C60725">
        <w:rPr>
          <w:b/>
          <w:sz w:val="23"/>
          <w:szCs w:val="23"/>
        </w:rPr>
        <w:t>Partial Assignment</w:t>
      </w:r>
      <w:r w:rsidR="00C60725">
        <w:rPr>
          <w:sz w:val="23"/>
          <w:szCs w:val="23"/>
        </w:rPr>
        <w:t>”)</w:t>
      </w:r>
      <w:r w:rsidR="008C29C9">
        <w:rPr>
          <w:sz w:val="23"/>
          <w:szCs w:val="23"/>
        </w:rPr>
        <w:t>.</w:t>
      </w:r>
      <w:r w:rsidR="00D76BD0">
        <w:rPr>
          <w:sz w:val="23"/>
          <w:szCs w:val="23"/>
        </w:rPr>
        <w:t xml:space="preserve">  The Facility will thereafter be owned, operated and/or managed by the Company and the Purchaser</w:t>
      </w:r>
      <w:r w:rsidR="00434CD6">
        <w:rPr>
          <w:sz w:val="23"/>
          <w:szCs w:val="23"/>
        </w:rPr>
        <w:t>, each as fifty percent (50%) tenants-in-common</w:t>
      </w:r>
      <w:r w:rsidR="00D76BD0">
        <w:rPr>
          <w:sz w:val="23"/>
          <w:szCs w:val="23"/>
        </w:rPr>
        <w:t>.</w:t>
      </w:r>
    </w:p>
    <w:p w:rsidR="00241D1B" w:rsidRPr="00203D00" w:rsidRDefault="00241D1B" w:rsidP="00203D00">
      <w:pPr>
        <w:pStyle w:val="BodyText"/>
        <w:spacing w:after="180"/>
        <w:jc w:val="both"/>
        <w:rPr>
          <w:color w:val="000000"/>
          <w:sz w:val="23"/>
          <w:szCs w:val="23"/>
        </w:rPr>
      </w:pPr>
      <w:r w:rsidRPr="00203D00">
        <w:rPr>
          <w:sz w:val="23"/>
          <w:szCs w:val="23"/>
        </w:rPr>
        <w:t xml:space="preserve">The Agency contemplates that it will </w:t>
      </w:r>
      <w:r w:rsidR="008C29C9">
        <w:rPr>
          <w:sz w:val="23"/>
          <w:szCs w:val="23"/>
        </w:rPr>
        <w:t xml:space="preserve">continue to </w:t>
      </w:r>
      <w:r w:rsidRPr="00203D00">
        <w:rPr>
          <w:sz w:val="23"/>
          <w:szCs w:val="23"/>
        </w:rPr>
        <w:t>provide financial assistance to the Company</w:t>
      </w:r>
      <w:r w:rsidR="008C29C9">
        <w:rPr>
          <w:sz w:val="23"/>
          <w:szCs w:val="23"/>
        </w:rPr>
        <w:t xml:space="preserve"> and the Purchaser </w:t>
      </w:r>
      <w:r w:rsidRPr="00203D00">
        <w:rPr>
          <w:sz w:val="23"/>
          <w:szCs w:val="23"/>
        </w:rPr>
        <w:t>in the form of exemption of real property taxes all consistent with the policies of the Agency.</w:t>
      </w:r>
    </w:p>
    <w:p w:rsidR="00241D1B" w:rsidRPr="00203D00" w:rsidRDefault="00241D1B" w:rsidP="00203D00">
      <w:pPr>
        <w:pStyle w:val="BodyText"/>
        <w:tabs>
          <w:tab w:val="left" w:pos="9000"/>
        </w:tabs>
        <w:spacing w:after="180"/>
        <w:jc w:val="both"/>
        <w:rPr>
          <w:sz w:val="23"/>
          <w:szCs w:val="23"/>
        </w:rPr>
      </w:pPr>
      <w:r w:rsidRPr="00203D00">
        <w:rPr>
          <w:sz w:val="23"/>
          <w:szCs w:val="23"/>
        </w:rPr>
        <w:t xml:space="preserve">A representative of the Agency will, at the above-stated time and place, hear and accept written comments from all persons with views in favor of or opposed to </w:t>
      </w:r>
      <w:proofErr w:type="gramStart"/>
      <w:r w:rsidRPr="00203D00">
        <w:rPr>
          <w:sz w:val="23"/>
          <w:szCs w:val="23"/>
        </w:rPr>
        <w:t>either the proposed</w:t>
      </w:r>
      <w:r w:rsidR="00C60725">
        <w:rPr>
          <w:sz w:val="23"/>
          <w:szCs w:val="23"/>
        </w:rPr>
        <w:t xml:space="preserve"> Partial Assignment and</w:t>
      </w:r>
      <w:proofErr w:type="gramEnd"/>
      <w:r w:rsidRPr="00203D00">
        <w:rPr>
          <w:sz w:val="23"/>
          <w:szCs w:val="23"/>
        </w:rPr>
        <w:t xml:space="preserve"> financial assistance to the Company and the </w:t>
      </w:r>
      <w:r w:rsidR="00C60725">
        <w:rPr>
          <w:sz w:val="23"/>
          <w:szCs w:val="23"/>
        </w:rPr>
        <w:t xml:space="preserve">Purchaser </w:t>
      </w:r>
      <w:r w:rsidRPr="00203D00">
        <w:rPr>
          <w:sz w:val="23"/>
          <w:szCs w:val="23"/>
        </w:rPr>
        <w:t>or the location or nature of the Facility.  Prior to the hearing, all persons will have the opportunity to review on the Agency’s website (</w:t>
      </w:r>
      <w:hyperlink r:id="rId7" w:history="1">
        <w:r w:rsidRPr="00203D00">
          <w:rPr>
            <w:rStyle w:val="Hyperlink"/>
            <w:sz w:val="23"/>
            <w:szCs w:val="23"/>
          </w:rPr>
          <w:t>https://tohida.org/</w:t>
        </w:r>
      </w:hyperlink>
      <w:r w:rsidRPr="00203D00">
        <w:rPr>
          <w:rStyle w:val="Hyperlink"/>
          <w:sz w:val="23"/>
          <w:szCs w:val="23"/>
        </w:rPr>
        <w:t>projects</w:t>
      </w:r>
      <w:r w:rsidRPr="00203D00">
        <w:rPr>
          <w:sz w:val="23"/>
          <w:szCs w:val="23"/>
        </w:rPr>
        <w:t>), the application for</w:t>
      </w:r>
      <w:r w:rsidR="00C60725">
        <w:rPr>
          <w:sz w:val="23"/>
          <w:szCs w:val="23"/>
        </w:rPr>
        <w:t xml:space="preserve"> the Partia</w:t>
      </w:r>
      <w:bookmarkStart w:id="0" w:name="_GoBack"/>
      <w:bookmarkEnd w:id="0"/>
      <w:r w:rsidR="00C60725">
        <w:rPr>
          <w:sz w:val="23"/>
          <w:szCs w:val="23"/>
        </w:rPr>
        <w:t>l Assignment and the</w:t>
      </w:r>
      <w:r w:rsidRPr="00203D00">
        <w:rPr>
          <w:sz w:val="23"/>
          <w:szCs w:val="23"/>
        </w:rPr>
        <w:t xml:space="preserve"> financial assistance filed by the Company</w:t>
      </w:r>
      <w:r w:rsidR="00C60725">
        <w:rPr>
          <w:sz w:val="23"/>
          <w:szCs w:val="23"/>
        </w:rPr>
        <w:t xml:space="preserve"> and the Purchaser</w:t>
      </w:r>
      <w:r w:rsidRPr="00203D00">
        <w:rPr>
          <w:sz w:val="23"/>
          <w:szCs w:val="23"/>
        </w:rPr>
        <w:t xml:space="preserve"> with the Agency.</w:t>
      </w:r>
    </w:p>
    <w:p w:rsidR="00241D1B" w:rsidRPr="00203D00" w:rsidRDefault="00241D1B" w:rsidP="00203D00">
      <w:pPr>
        <w:pStyle w:val="BodyText"/>
        <w:spacing w:after="180"/>
        <w:ind w:right="-18"/>
        <w:jc w:val="both"/>
        <w:rPr>
          <w:sz w:val="23"/>
          <w:szCs w:val="23"/>
        </w:rPr>
      </w:pPr>
      <w:r w:rsidRPr="00203D00">
        <w:rPr>
          <w:sz w:val="23"/>
          <w:szCs w:val="23"/>
        </w:rPr>
        <w:t xml:space="preserve">Members of the public may listen to the Public Hearing, and comment on the </w:t>
      </w:r>
      <w:r w:rsidR="00C60725">
        <w:rPr>
          <w:sz w:val="23"/>
          <w:szCs w:val="23"/>
        </w:rPr>
        <w:t>Partial Assignment</w:t>
      </w:r>
      <w:r w:rsidRPr="00203D00">
        <w:rPr>
          <w:sz w:val="23"/>
          <w:szCs w:val="23"/>
        </w:rPr>
        <w:t xml:space="preserve"> and the benefits to be </w:t>
      </w:r>
      <w:r w:rsidR="00C60725">
        <w:rPr>
          <w:sz w:val="23"/>
          <w:szCs w:val="23"/>
        </w:rPr>
        <w:t>continued</w:t>
      </w:r>
      <w:r w:rsidRPr="00203D00">
        <w:rPr>
          <w:sz w:val="23"/>
          <w:szCs w:val="23"/>
        </w:rPr>
        <w:t xml:space="preserve"> by the Agency to the Company and the </w:t>
      </w:r>
      <w:r w:rsidR="00C60725">
        <w:rPr>
          <w:sz w:val="23"/>
          <w:szCs w:val="23"/>
        </w:rPr>
        <w:t xml:space="preserve">Purchaser </w:t>
      </w:r>
      <w:r w:rsidRPr="00203D00">
        <w:rPr>
          <w:sz w:val="23"/>
          <w:szCs w:val="23"/>
        </w:rPr>
        <w:t xml:space="preserve">during the Public Hearing, by calling </w:t>
      </w:r>
      <w:r w:rsidR="00E8473B">
        <w:rPr>
          <w:sz w:val="23"/>
          <w:szCs w:val="23"/>
        </w:rPr>
        <w:t>(669) 224-3412</w:t>
      </w:r>
      <w:r w:rsidRPr="00203D00">
        <w:rPr>
          <w:sz w:val="23"/>
          <w:szCs w:val="23"/>
        </w:rPr>
        <w:t xml:space="preserve"> and entering access code </w:t>
      </w:r>
      <w:r w:rsidR="00E8473B" w:rsidRPr="00E8473B">
        <w:rPr>
          <w:sz w:val="22"/>
          <w:szCs w:val="22"/>
        </w:rPr>
        <w:t>745-260-053</w:t>
      </w:r>
      <w:r w:rsidRPr="00203D00">
        <w:rPr>
          <w:sz w:val="23"/>
          <w:szCs w:val="23"/>
        </w:rPr>
        <w:t>.  Comments may also be submitted to the Agency in writing or electronically. Minutes of the Public Hearing will be transcribed and posted on the Agency’s website.</w:t>
      </w:r>
    </w:p>
    <w:p w:rsidR="00241D1B" w:rsidRPr="00203D00" w:rsidRDefault="00241D1B" w:rsidP="00522269">
      <w:pPr>
        <w:widowControl w:val="0"/>
        <w:suppressAutoHyphens/>
        <w:ind w:left="4320" w:hanging="4320"/>
        <w:jc w:val="both"/>
        <w:rPr>
          <w:color w:val="000000"/>
          <w:sz w:val="23"/>
          <w:szCs w:val="23"/>
        </w:rPr>
      </w:pPr>
      <w:r w:rsidRPr="00203D00">
        <w:rPr>
          <w:sz w:val="23"/>
          <w:szCs w:val="23"/>
        </w:rPr>
        <w:t xml:space="preserve">Dated:  </w:t>
      </w:r>
      <w:r w:rsidR="00C60725">
        <w:rPr>
          <w:sz w:val="23"/>
          <w:szCs w:val="23"/>
        </w:rPr>
        <w:t>June</w:t>
      </w:r>
      <w:r w:rsidR="00E8473B">
        <w:rPr>
          <w:sz w:val="23"/>
          <w:szCs w:val="23"/>
        </w:rPr>
        <w:t xml:space="preserve"> 5</w:t>
      </w:r>
      <w:r w:rsidR="00C60725">
        <w:rPr>
          <w:color w:val="000000"/>
          <w:sz w:val="23"/>
          <w:szCs w:val="23"/>
        </w:rPr>
        <w:t>, 2021</w:t>
      </w:r>
      <w:r w:rsidRPr="00203D00">
        <w:rPr>
          <w:sz w:val="23"/>
          <w:szCs w:val="23"/>
        </w:rPr>
        <w:tab/>
      </w:r>
      <w:r w:rsidRPr="00203D00">
        <w:rPr>
          <w:color w:val="000000"/>
          <w:sz w:val="23"/>
          <w:szCs w:val="23"/>
        </w:rPr>
        <w:t xml:space="preserve">TOWN OF HEMPSTEAD INDUSTRIAL </w:t>
      </w:r>
    </w:p>
    <w:p w:rsidR="00241D1B" w:rsidRPr="00203D00" w:rsidRDefault="00241D1B" w:rsidP="00522269">
      <w:pPr>
        <w:widowControl w:val="0"/>
        <w:suppressAutoHyphens/>
        <w:ind w:left="4320" w:hanging="4320"/>
        <w:jc w:val="both"/>
        <w:rPr>
          <w:sz w:val="23"/>
          <w:szCs w:val="23"/>
        </w:rPr>
      </w:pPr>
      <w:r w:rsidRPr="00203D00">
        <w:rPr>
          <w:color w:val="000000"/>
          <w:sz w:val="23"/>
          <w:szCs w:val="23"/>
        </w:rPr>
        <w:tab/>
        <w:t>DEVELOPMENT AGENCY</w:t>
      </w:r>
    </w:p>
    <w:p w:rsidR="00241D1B" w:rsidRPr="00203D00" w:rsidRDefault="00241D1B" w:rsidP="00522269">
      <w:pPr>
        <w:widowControl w:val="0"/>
        <w:tabs>
          <w:tab w:val="left" w:pos="4950"/>
        </w:tabs>
        <w:suppressAutoHyphens/>
        <w:ind w:left="4320"/>
        <w:jc w:val="both"/>
        <w:rPr>
          <w:sz w:val="23"/>
          <w:szCs w:val="23"/>
        </w:rPr>
      </w:pPr>
      <w:r w:rsidRPr="00203D00">
        <w:rPr>
          <w:color w:val="000000"/>
          <w:sz w:val="23"/>
          <w:szCs w:val="23"/>
        </w:rPr>
        <w:t>By:</w:t>
      </w:r>
      <w:r w:rsidRPr="00203D00">
        <w:rPr>
          <w:color w:val="000000"/>
          <w:sz w:val="23"/>
          <w:szCs w:val="23"/>
        </w:rPr>
        <w:tab/>
        <w:t>Frederick E. Parola</w:t>
      </w:r>
    </w:p>
    <w:p w:rsidR="00241D1B" w:rsidRPr="00203D00" w:rsidRDefault="00241D1B" w:rsidP="00522269">
      <w:pPr>
        <w:widowControl w:val="0"/>
        <w:ind w:left="3600" w:firstLine="720"/>
        <w:rPr>
          <w:sz w:val="23"/>
          <w:szCs w:val="23"/>
        </w:rPr>
      </w:pPr>
      <w:r w:rsidRPr="00203D00">
        <w:rPr>
          <w:sz w:val="23"/>
          <w:szCs w:val="23"/>
        </w:rPr>
        <w:t>Title:</w:t>
      </w:r>
      <w:r w:rsidRPr="00203D00">
        <w:rPr>
          <w:sz w:val="23"/>
          <w:szCs w:val="23"/>
        </w:rPr>
        <w:tab/>
      </w:r>
      <w:r w:rsidRPr="00203D00">
        <w:rPr>
          <w:color w:val="000000"/>
          <w:sz w:val="23"/>
          <w:szCs w:val="23"/>
        </w:rPr>
        <w:t>Chief Executive Officer</w:t>
      </w:r>
    </w:p>
    <w:sectPr w:rsidR="00241D1B" w:rsidRPr="00203D00" w:rsidSect="00522269">
      <w:footerReference w:type="default" r:id="rId8"/>
      <w:footerReference w:type="first" r:id="rId9"/>
      <w:pgSz w:w="12240" w:h="15840" w:code="1"/>
      <w:pgMar w:top="576" w:right="1440" w:bottom="432"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1B" w:rsidRDefault="00241D1B" w:rsidP="00241D1B">
      <w:r>
        <w:separator/>
      </w:r>
    </w:p>
  </w:endnote>
  <w:endnote w:type="continuationSeparator" w:id="0">
    <w:p w:rsidR="00241D1B" w:rsidRDefault="00241D1B" w:rsidP="0024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D6" w:rsidRDefault="00E8473B">
    <w:pPr>
      <w:pStyle w:val="Footer"/>
    </w:pPr>
    <w:r>
      <w:rPr>
        <w:noProof/>
      </w:rPr>
      <w:pict>
        <v:shapetype id="_x0000_t202" coordsize="21600,21600" o:spt="202" path="m,l,21600r21600,l21600,xe">
          <v:stroke joinstyle="miter"/>
          <v:path gradientshapeok="t" o:connecttype="rect"/>
        </v:shapetype>
        <v:shape id="zzmpTrailer_1078_19" o:spid="_x0000_s2053"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434CD6" w:rsidRDefault="00434CD6">
                <w:pPr>
                  <w:pStyle w:val="MacPacTrailer"/>
                </w:pPr>
                <w:r>
                  <w:t>4818-7035-2877.1</w:t>
                </w:r>
              </w:p>
              <w:p w:rsidR="00434CD6" w:rsidRDefault="00434CD6">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D6" w:rsidRDefault="00E8473B">
    <w:pPr>
      <w:pStyle w:val="Footer"/>
    </w:pPr>
    <w:r>
      <w:rPr>
        <w:noProof/>
      </w:rPr>
      <w:pict>
        <v:shapetype id="_x0000_t202" coordsize="21600,21600" o:spt="202" path="m,l,21600r21600,l21600,xe">
          <v:stroke joinstyle="miter"/>
          <v:path gradientshapeok="t" o:connecttype="rect"/>
        </v:shapetype>
        <v:shape id="zzmpTrailer_1078_1B" o:spid="_x0000_s2054"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434CD6" w:rsidRDefault="00434CD6">
                <w:pPr>
                  <w:pStyle w:val="MacPacTrailer"/>
                </w:pPr>
                <w:r>
                  <w:t>4818-7035-2877.1</w:t>
                </w:r>
              </w:p>
              <w:p w:rsidR="00434CD6" w:rsidRDefault="00434CD6">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1B" w:rsidRDefault="00241D1B" w:rsidP="00241D1B">
      <w:r>
        <w:separator/>
      </w:r>
    </w:p>
  </w:footnote>
  <w:footnote w:type="continuationSeparator" w:id="0">
    <w:p w:rsidR="00241D1B" w:rsidRDefault="00241D1B" w:rsidP="00241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1B"/>
    <w:rsid w:val="00066E5F"/>
    <w:rsid w:val="001E6E3C"/>
    <w:rsid w:val="00203D00"/>
    <w:rsid w:val="00241D1B"/>
    <w:rsid w:val="002626EE"/>
    <w:rsid w:val="00357442"/>
    <w:rsid w:val="00434CD6"/>
    <w:rsid w:val="00474056"/>
    <w:rsid w:val="00506362"/>
    <w:rsid w:val="00522269"/>
    <w:rsid w:val="005605B1"/>
    <w:rsid w:val="00773FE3"/>
    <w:rsid w:val="007F3A42"/>
    <w:rsid w:val="008C29C9"/>
    <w:rsid w:val="009B2896"/>
    <w:rsid w:val="009E244C"/>
    <w:rsid w:val="00C60725"/>
    <w:rsid w:val="00D76BD0"/>
    <w:rsid w:val="00E8473B"/>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D1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241D1B"/>
    <w:rPr>
      <w:sz w:val="24"/>
      <w:lang w:val="en-US" w:eastAsia="en-US" w:bidi="ar-SA"/>
    </w:rPr>
  </w:style>
  <w:style w:type="character" w:styleId="Hyperlink">
    <w:name w:val="Hyperlink"/>
    <w:uiPriority w:val="99"/>
    <w:unhideWhenUsed/>
    <w:rsid w:val="00241D1B"/>
    <w:rPr>
      <w:color w:val="0563C1"/>
      <w:u w:val="single"/>
    </w:rPr>
  </w:style>
  <w:style w:type="paragraph" w:customStyle="1" w:styleId="MacPacTrailer">
    <w:name w:val="MacPac Trailer"/>
    <w:rsid w:val="00434CD6"/>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D1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241D1B"/>
    <w:rPr>
      <w:sz w:val="24"/>
      <w:lang w:val="en-US" w:eastAsia="en-US" w:bidi="ar-SA"/>
    </w:rPr>
  </w:style>
  <w:style w:type="character" w:styleId="Hyperlink">
    <w:name w:val="Hyperlink"/>
    <w:uiPriority w:val="99"/>
    <w:unhideWhenUsed/>
    <w:rsid w:val="00241D1B"/>
    <w:rPr>
      <w:color w:val="0563C1"/>
      <w:u w:val="single"/>
    </w:rPr>
  </w:style>
  <w:style w:type="paragraph" w:customStyle="1" w:styleId="MacPacTrailer">
    <w:name w:val="MacPac Trailer"/>
    <w:rsid w:val="00434CD6"/>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hi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2</cp:revision>
  <dcterms:created xsi:type="dcterms:W3CDTF">2021-06-02T20:05:00Z</dcterms:created>
  <dcterms:modified xsi:type="dcterms:W3CDTF">2021-06-02T20:07:00Z</dcterms:modified>
</cp:coreProperties>
</file>